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34" w:rsidRDefault="009250C7">
      <w:pPr>
        <w:ind w:right="-4"/>
        <w:jc w:val="center"/>
        <w:rPr>
          <w:rFonts w:ascii="Arial" w:eastAsia="Arial" w:hAnsi="Arial"/>
          <w:b/>
          <w:sz w:val="57"/>
        </w:rPr>
      </w:pPr>
      <w:r>
        <w:rPr>
          <w:rFonts w:ascii="Arial" w:eastAsia="Arial" w:hAnsi="Arial"/>
          <w:b/>
          <w:sz w:val="57"/>
        </w:rPr>
        <w:t>LAUREÁTI CEN ČESKÁ HLAVA 2022</w:t>
      </w:r>
    </w:p>
    <w:p w:rsidR="00681034" w:rsidRDefault="00681034">
      <w:pPr>
        <w:ind w:right="-4"/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ind w:right="-4"/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9250C7">
      <w:pPr>
        <w:ind w:right="-4"/>
        <w:jc w:val="center"/>
        <w:rPr>
          <w:rFonts w:ascii="Arial" w:eastAsia="Arial" w:hAnsi="Arial"/>
          <w:b/>
          <w:color w:val="E30613"/>
          <w:sz w:val="34"/>
        </w:rPr>
      </w:pPr>
      <w:r>
        <w:rPr>
          <w:rFonts w:ascii="Arial" w:eastAsia="Arial" w:hAnsi="Arial"/>
          <w:b/>
          <w:color w:val="E30613"/>
          <w:sz w:val="34"/>
        </w:rPr>
        <w:t>Národní cena vlády Česká hlava</w:t>
      </w:r>
    </w:p>
    <w:p w:rsidR="00681034" w:rsidRDefault="00681034">
      <w:pPr>
        <w:spacing w:line="230" w:lineRule="exact"/>
        <w:rPr>
          <w:rFonts w:ascii="Arial" w:eastAsia="Times New Roman" w:hAnsi="Arial" w:cs="Times New Roman"/>
          <w:b/>
          <w:color w:val="E30613"/>
          <w:sz w:val="34"/>
        </w:rPr>
      </w:pPr>
    </w:p>
    <w:p w:rsidR="00681034" w:rsidRDefault="009250C7">
      <w:pPr>
        <w:ind w:left="5"/>
        <w:rPr>
          <w:rFonts w:hint="eastAsia"/>
        </w:rPr>
      </w:pPr>
      <w:r>
        <w:rPr>
          <w:rFonts w:ascii="Arial" w:eastAsia="Arial" w:hAnsi="Arial"/>
          <w:b/>
          <w:sz w:val="20"/>
          <w:szCs w:val="20"/>
        </w:rPr>
        <w:t xml:space="preserve">Národní cena vlády Česká hlava (dále jen „národní cena vlády“) se uděluje podle </w:t>
      </w:r>
      <w:proofErr w:type="spellStart"/>
      <w:r>
        <w:rPr>
          <w:rFonts w:ascii="Arial" w:eastAsia="Arial" w:hAnsi="Arial"/>
          <w:b/>
          <w:sz w:val="20"/>
          <w:szCs w:val="20"/>
        </w:rPr>
        <w:t>ust</w:t>
      </w:r>
      <w:proofErr w:type="spellEnd"/>
      <w:r>
        <w:rPr>
          <w:rFonts w:ascii="Arial" w:eastAsia="Arial" w:hAnsi="Arial"/>
          <w:b/>
          <w:sz w:val="20"/>
          <w:szCs w:val="20"/>
        </w:rPr>
        <w:t>. § 1 odst. 1 písm.</w:t>
      </w:r>
    </w:p>
    <w:p w:rsidR="00681034" w:rsidRDefault="00681034">
      <w:pPr>
        <w:spacing w:line="10" w:lineRule="exact"/>
        <w:rPr>
          <w:rFonts w:ascii="Arial" w:eastAsia="Times New Roman" w:hAnsi="Arial" w:cs="Times New Roman"/>
          <w:b/>
          <w:sz w:val="20"/>
          <w:szCs w:val="20"/>
        </w:rPr>
      </w:pPr>
    </w:p>
    <w:p w:rsidR="00681034" w:rsidRDefault="009250C7">
      <w:pPr>
        <w:numPr>
          <w:ilvl w:val="0"/>
          <w:numId w:val="1"/>
        </w:numPr>
        <w:tabs>
          <w:tab w:val="left" w:pos="242"/>
        </w:tabs>
        <w:suppressAutoHyphens w:val="0"/>
        <w:spacing w:line="288" w:lineRule="auto"/>
        <w:ind w:left="5" w:hanging="5"/>
        <w:textAlignment w:val="auto"/>
        <w:rPr>
          <w:rFonts w:hint="eastAsia"/>
        </w:rPr>
      </w:pPr>
      <w:r>
        <w:rPr>
          <w:rFonts w:ascii="Arial" w:eastAsia="Arial" w:hAnsi="Arial"/>
          <w:b/>
          <w:sz w:val="20"/>
          <w:szCs w:val="20"/>
        </w:rPr>
        <w:t xml:space="preserve">nařízení vlády č. 71/2013 Sb. o podmínkách pro ocenění výsledků výzkumu, experimentálního vývoje a inovací ze dne 27. února 2013. </w:t>
      </w:r>
    </w:p>
    <w:p w:rsidR="00681034" w:rsidRDefault="00681034">
      <w:pPr>
        <w:tabs>
          <w:tab w:val="left" w:pos="242"/>
        </w:tabs>
        <w:suppressAutoHyphens w:val="0"/>
        <w:spacing w:line="288" w:lineRule="auto"/>
        <w:ind w:left="5"/>
        <w:textAlignment w:val="auto"/>
        <w:rPr>
          <w:rFonts w:ascii="Arial" w:eastAsia="Arial" w:hAnsi="Arial"/>
          <w:b/>
        </w:rPr>
      </w:pPr>
    </w:p>
    <w:p w:rsidR="00681034" w:rsidRDefault="009250C7">
      <w:pPr>
        <w:tabs>
          <w:tab w:val="left" w:pos="242"/>
        </w:tabs>
        <w:suppressAutoHyphens w:val="0"/>
        <w:spacing w:line="288" w:lineRule="auto"/>
        <w:ind w:left="5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eastAsia="Arial" w:hAnsi="Arial"/>
          <w:b/>
          <w:color w:val="E30613"/>
          <w:sz w:val="30"/>
        </w:rPr>
        <w:t xml:space="preserve">Laureát: </w:t>
      </w:r>
      <w:r>
        <w:rPr>
          <w:rFonts w:ascii="Arial" w:hAnsi="Arial" w:cs="Arial"/>
          <w:sz w:val="28"/>
          <w:szCs w:val="28"/>
        </w:rPr>
        <w:t xml:space="preserve">prof. RNDr. Petr </w:t>
      </w:r>
      <w:proofErr w:type="spellStart"/>
      <w:r>
        <w:rPr>
          <w:rFonts w:ascii="Arial" w:hAnsi="Arial" w:cs="Arial"/>
          <w:sz w:val="28"/>
          <w:szCs w:val="28"/>
        </w:rPr>
        <w:t>Pyšek</w:t>
      </w:r>
      <w:proofErr w:type="spellEnd"/>
      <w:r>
        <w:rPr>
          <w:rFonts w:ascii="Arial" w:hAnsi="Arial" w:cs="Arial"/>
          <w:sz w:val="28"/>
          <w:szCs w:val="28"/>
        </w:rPr>
        <w:t>, CSc.</w:t>
      </w:r>
    </w:p>
    <w:p w:rsidR="00681034" w:rsidRDefault="00681034">
      <w:pPr>
        <w:jc w:val="both"/>
        <w:rPr>
          <w:rFonts w:ascii="Arial" w:hAnsi="Arial" w:cs="Arial"/>
          <w:sz w:val="20"/>
          <w:szCs w:val="20"/>
        </w:rPr>
      </w:pP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Invazní druhy jsou rostliny a živočichové, které člověk přenesl, úmyslně či neúmyslně</w:t>
      </w:r>
      <w:r>
        <w:rPr>
          <w:rFonts w:ascii="Arial" w:hAnsi="Arial" w:cs="Arial"/>
          <w:sz w:val="20"/>
          <w:szCs w:val="20"/>
        </w:rPr>
        <w:t>, do oblastí mimo jejich přirozený výskyt, kde se nekontrolovatelně šíří a mnohé mají nepříznivý dopad na biologickou rozmanitost, fungování ekosystémů, ekonomiku i lidské zdraví. Počet invazních druhů rostlin se neustále zvyšuje, po celém světě je jich v </w:t>
      </w:r>
      <w:r>
        <w:rPr>
          <w:rFonts w:ascii="Arial" w:hAnsi="Arial" w:cs="Arial"/>
          <w:sz w:val="20"/>
          <w:szCs w:val="20"/>
        </w:rPr>
        <w:t>tuto chvíli zaznamenáno více než tři tisíce. Vědci tento nárůst připisují zvyšujícímu se počtu a různorodosti cest, kterými se mohou druhy šířit, a rostoucímu objemu přepravy na těchto cestách. Dopady biologických invazí jsou prohloubeny dalšími vlivy, jak</w:t>
      </w:r>
      <w:r>
        <w:rPr>
          <w:rFonts w:ascii="Arial" w:hAnsi="Arial" w:cs="Arial"/>
          <w:sz w:val="20"/>
          <w:szCs w:val="20"/>
        </w:rPr>
        <w:t xml:space="preserve">o je způsob využívání krajiny, stále intenzivnější mezinárodní obchod či klimatická změna.  </w:t>
      </w:r>
    </w:p>
    <w:p w:rsidR="00681034" w:rsidRDefault="00681034">
      <w:pPr>
        <w:jc w:val="both"/>
        <w:rPr>
          <w:rFonts w:cstheme="minorHAnsi" w:hint="eastAsia"/>
          <w:b/>
        </w:rPr>
      </w:pP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Prof. RNDr. Petr </w:t>
      </w:r>
      <w:proofErr w:type="spellStart"/>
      <w:r>
        <w:rPr>
          <w:rFonts w:ascii="Arial" w:hAnsi="Arial" w:cs="Arial"/>
          <w:b/>
          <w:sz w:val="20"/>
          <w:szCs w:val="20"/>
        </w:rPr>
        <w:t>Pyšek</w:t>
      </w:r>
      <w:proofErr w:type="spellEnd"/>
      <w:r>
        <w:rPr>
          <w:rFonts w:ascii="Arial" w:hAnsi="Arial" w:cs="Arial"/>
          <w:b/>
          <w:sz w:val="20"/>
          <w:szCs w:val="20"/>
        </w:rPr>
        <w:t>, CSc.</w:t>
      </w:r>
      <w:r>
        <w:rPr>
          <w:rFonts w:cstheme="minorHAnsi"/>
          <w:b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je vedoucím Oddělení ekologie invazí Botanického ústavu AV ČR, které v roce 2004 založil. Působí také na Katedře ekologie </w:t>
      </w:r>
      <w:proofErr w:type="spellStart"/>
      <w:r>
        <w:rPr>
          <w:rFonts w:ascii="Arial" w:hAnsi="Arial" w:cs="Arial"/>
          <w:bCs/>
          <w:sz w:val="20"/>
          <w:szCs w:val="20"/>
        </w:rPr>
        <w:t>PřF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UK.</w:t>
      </w:r>
      <w:r>
        <w:rPr>
          <w:rFonts w:cstheme="minorHAnsi"/>
          <w:b/>
          <w:bCs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Je</w:t>
      </w:r>
      <w:r>
        <w:rPr>
          <w:rFonts w:ascii="Arial" w:hAnsi="Arial" w:cs="Arial"/>
          <w:bCs/>
          <w:sz w:val="20"/>
          <w:szCs w:val="20"/>
        </w:rPr>
        <w:t xml:space="preserve"> jedním ze zakladatelů moderní invazní ekologie.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Stál u zrodu formálního pochopení invazního procesu a spoluvytvářel teoretický základ oboru. Je spoluautorem koncepčního rámce invazí a klasifikace invazního procesu, včetně terminologie, která se stala stan</w:t>
      </w:r>
      <w:r>
        <w:rPr>
          <w:rFonts w:ascii="Arial" w:hAnsi="Arial" w:cs="Arial"/>
          <w:sz w:val="20"/>
          <w:szCs w:val="20"/>
        </w:rPr>
        <w:t xml:space="preserve">dardem, byla přijata organizacemi typu IUCN a CBD a její široká aplikace umožnila raketový rozvoj oboru v posledním desetiletí. Je zakladatelem světové databáze invazních rostlin </w:t>
      </w:r>
      <w:proofErr w:type="spellStart"/>
      <w:r>
        <w:rPr>
          <w:rFonts w:ascii="Arial" w:hAnsi="Arial" w:cs="Arial"/>
          <w:sz w:val="20"/>
          <w:szCs w:val="20"/>
        </w:rPr>
        <w:t>GloNAF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Global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Naturalized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Alien</w:t>
      </w:r>
      <w:proofErr w:type="spellEnd"/>
      <w:r>
        <w:rPr>
          <w:rFonts w:ascii="Arial" w:hAnsi="Arial" w:cs="Arial"/>
          <w:sz w:val="20"/>
          <w:szCs w:val="20"/>
        </w:rPr>
        <w:t xml:space="preserve"> Flora), která se stala milníkem ve výzkumu r</w:t>
      </w:r>
      <w:r>
        <w:rPr>
          <w:rFonts w:ascii="Arial" w:hAnsi="Arial" w:cs="Arial"/>
          <w:sz w:val="20"/>
          <w:szCs w:val="20"/>
        </w:rPr>
        <w:t xml:space="preserve">ostlinných invazí. Petr </w:t>
      </w:r>
      <w:proofErr w:type="spellStart"/>
      <w:r>
        <w:rPr>
          <w:rFonts w:ascii="Arial" w:hAnsi="Arial" w:cs="Arial"/>
          <w:sz w:val="20"/>
          <w:szCs w:val="20"/>
        </w:rPr>
        <w:t>Pyšek</w:t>
      </w:r>
      <w:proofErr w:type="spellEnd"/>
      <w:r>
        <w:rPr>
          <w:rFonts w:ascii="Arial" w:hAnsi="Arial" w:cs="Arial"/>
          <w:sz w:val="20"/>
          <w:szCs w:val="20"/>
        </w:rPr>
        <w:t xml:space="preserve"> je autorem či spoluautorem více než 430 článků v impaktovaných časopisech, jako jediný český vědec je na seznamu </w:t>
      </w:r>
      <w:proofErr w:type="spellStart"/>
      <w:r>
        <w:rPr>
          <w:rFonts w:ascii="Arial" w:hAnsi="Arial" w:cs="Arial"/>
          <w:sz w:val="20"/>
          <w:szCs w:val="20"/>
        </w:rPr>
        <w:t>Highly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Scientists</w:t>
      </w:r>
      <w:proofErr w:type="spellEnd"/>
      <w:r>
        <w:rPr>
          <w:rFonts w:ascii="Arial" w:hAnsi="Arial" w:cs="Arial"/>
          <w:sz w:val="20"/>
          <w:szCs w:val="20"/>
        </w:rPr>
        <w:t xml:space="preserve"> nepřetržitě od roku 2014 a v současnosti je nejcitovanějším invazním biologem na světě. </w:t>
      </w:r>
    </w:p>
    <w:p w:rsidR="00681034" w:rsidRDefault="00681034">
      <w:pPr>
        <w:jc w:val="both"/>
        <w:rPr>
          <w:rFonts w:ascii="Arial" w:hAnsi="Arial" w:cs="Arial"/>
          <w:sz w:val="20"/>
          <w:szCs w:val="20"/>
        </w:rPr>
      </w:pP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Petr </w:t>
      </w:r>
      <w:proofErr w:type="spellStart"/>
      <w:r>
        <w:rPr>
          <w:rFonts w:ascii="Arial" w:hAnsi="Arial" w:cs="Arial"/>
          <w:sz w:val="20"/>
          <w:szCs w:val="20"/>
        </w:rPr>
        <w:t>Pyšek</w:t>
      </w:r>
      <w:proofErr w:type="spellEnd"/>
      <w:r>
        <w:rPr>
          <w:rFonts w:ascii="Arial" w:hAnsi="Arial" w:cs="Arial"/>
          <w:sz w:val="20"/>
          <w:szCs w:val="20"/>
        </w:rPr>
        <w:t xml:space="preserve"> zásadním způsobem přispěl k vytvoření evropského výzkumného prostoru biologických invazí, podílel se na několika celoevropských projektech, uvedl na scénu řadu kolegů a studentů, spolupracuje s mnoha světovými pracovišti.  Je vedoucím autorem a</w:t>
      </w:r>
      <w:r>
        <w:rPr>
          <w:rFonts w:ascii="Arial" w:hAnsi="Arial" w:cs="Arial"/>
          <w:sz w:val="20"/>
          <w:szCs w:val="20"/>
        </w:rPr>
        <w:t xml:space="preserve"> koordinátorem pravidelně vydávaných národních katalogů nepůvodních rostlin, které mírou detailu a hloubkou vhledu nemají ve světě obdoby, s kolegy vydali i evropskou a celosvětovou flóru nepůvodních druhů. Jeho práce změnila pohled na analýzy </w:t>
      </w:r>
      <w:proofErr w:type="spellStart"/>
      <w:r>
        <w:rPr>
          <w:rFonts w:ascii="Arial" w:hAnsi="Arial" w:cs="Arial"/>
          <w:sz w:val="20"/>
          <w:szCs w:val="20"/>
        </w:rPr>
        <w:t>invazivnosti</w:t>
      </w:r>
      <w:proofErr w:type="spellEnd"/>
      <w:r>
        <w:rPr>
          <w:rFonts w:ascii="Arial" w:hAnsi="Arial" w:cs="Arial"/>
          <w:sz w:val="20"/>
          <w:szCs w:val="20"/>
        </w:rPr>
        <w:t xml:space="preserve"> druhů a přispěla k odpovědi na otázku, proč jsou některé druhy invazní a jiné nikoli. Stal se též průkopníkem přístupu, který nahlíží na invaze z opačné strany, tedy z pohledu zdrojových flór a jejich osudu po zavlečení do jiných částí světa. </w:t>
      </w:r>
    </w:p>
    <w:p w:rsidR="00681034" w:rsidRDefault="00681034">
      <w:pPr>
        <w:jc w:val="both"/>
        <w:rPr>
          <w:rFonts w:ascii="Arial" w:hAnsi="Arial" w:cs="Arial"/>
          <w:sz w:val="20"/>
          <w:szCs w:val="20"/>
        </w:rPr>
      </w:pP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zmíně</w:t>
      </w:r>
      <w:r>
        <w:rPr>
          <w:rFonts w:ascii="Arial" w:hAnsi="Arial" w:cs="Arial"/>
          <w:sz w:val="20"/>
          <w:szCs w:val="20"/>
        </w:rPr>
        <w:t>ná témata představují jen výsek profesorova vědeckého záběru, dala by se zmínit řada dalších okruhů, v nichž zanechal výraznou stopu – ať už se jedná o urbánní ekologii, jeho celoživotní zájem o přírodní rezervace či post šéfredaktora časopisu České botani</w:t>
      </w:r>
      <w:r>
        <w:rPr>
          <w:rFonts w:ascii="Arial" w:hAnsi="Arial" w:cs="Arial"/>
          <w:sz w:val="20"/>
          <w:szCs w:val="20"/>
        </w:rPr>
        <w:t xml:space="preserve">cké společnosti, </w:t>
      </w:r>
      <w:proofErr w:type="spellStart"/>
      <w:r>
        <w:rPr>
          <w:rFonts w:ascii="Arial" w:hAnsi="Arial" w:cs="Arial"/>
          <w:sz w:val="20"/>
          <w:szCs w:val="20"/>
        </w:rPr>
        <w:t>Preslia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81034" w:rsidRDefault="00681034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Petr </w:t>
      </w:r>
      <w:proofErr w:type="spellStart"/>
      <w:r>
        <w:rPr>
          <w:rFonts w:ascii="Arial" w:hAnsi="Arial" w:cs="Arial"/>
          <w:sz w:val="20"/>
          <w:szCs w:val="20"/>
        </w:rPr>
        <w:t>Pyšek</w:t>
      </w:r>
      <w:proofErr w:type="spellEnd"/>
      <w:r>
        <w:rPr>
          <w:rFonts w:ascii="Arial" w:hAnsi="Arial" w:cs="Arial"/>
          <w:sz w:val="20"/>
          <w:szCs w:val="20"/>
        </w:rPr>
        <w:t xml:space="preserve"> je nositelem řady tuzemských i mezinárodních ocenění; jeho přínos oboru ocenila </w:t>
      </w:r>
      <w:proofErr w:type="spellStart"/>
      <w:r>
        <w:rPr>
          <w:rFonts w:ascii="Arial" w:hAnsi="Arial" w:cs="Arial"/>
          <w:sz w:val="20"/>
          <w:szCs w:val="20"/>
        </w:rPr>
        <w:t>Ecological</w:t>
      </w:r>
      <w:proofErr w:type="spellEnd"/>
      <w:r>
        <w:rPr>
          <w:rFonts w:ascii="Arial" w:hAnsi="Arial" w:cs="Arial"/>
          <w:sz w:val="20"/>
          <w:szCs w:val="20"/>
        </w:rPr>
        <w:t xml:space="preserve"> Society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America, která mu </w:t>
      </w:r>
      <w:proofErr w:type="gramStart"/>
      <w:r>
        <w:rPr>
          <w:rFonts w:ascii="Arial" w:hAnsi="Arial" w:cs="Arial"/>
          <w:sz w:val="20"/>
          <w:szCs w:val="20"/>
        </w:rPr>
        <w:t>udělila</w:t>
      </w:r>
      <w:proofErr w:type="gramEnd"/>
      <w:r>
        <w:rPr>
          <w:rFonts w:ascii="Arial" w:hAnsi="Arial" w:cs="Arial"/>
          <w:sz w:val="20"/>
          <w:szCs w:val="20"/>
        </w:rPr>
        <w:t xml:space="preserve"> Robert H. </w:t>
      </w:r>
      <w:proofErr w:type="spellStart"/>
      <w:r>
        <w:rPr>
          <w:rFonts w:ascii="Arial" w:hAnsi="Arial" w:cs="Arial"/>
          <w:sz w:val="20"/>
          <w:szCs w:val="20"/>
        </w:rPr>
        <w:t>Whittaker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Distinguished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Ecologist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Award</w:t>
      </w:r>
      <w:proofErr w:type="spellEnd"/>
      <w:r>
        <w:rPr>
          <w:rFonts w:ascii="Arial" w:hAnsi="Arial" w:cs="Arial"/>
          <w:sz w:val="20"/>
          <w:szCs w:val="20"/>
        </w:rPr>
        <w:t xml:space="preserve"> (2017), od International Society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Biog</w:t>
      </w:r>
      <w:r>
        <w:rPr>
          <w:rFonts w:ascii="Arial" w:hAnsi="Arial" w:cs="Arial"/>
          <w:sz w:val="20"/>
          <w:szCs w:val="20"/>
        </w:rPr>
        <w:t>eography</w:t>
      </w:r>
      <w:proofErr w:type="spellEnd"/>
      <w:r>
        <w:rPr>
          <w:rFonts w:ascii="Arial" w:hAnsi="Arial" w:cs="Arial"/>
          <w:sz w:val="20"/>
          <w:szCs w:val="20"/>
        </w:rPr>
        <w:t xml:space="preserve"> převzal Alfred </w:t>
      </w:r>
      <w:proofErr w:type="spellStart"/>
      <w:r>
        <w:rPr>
          <w:rFonts w:ascii="Arial" w:hAnsi="Arial" w:cs="Arial"/>
          <w:sz w:val="20"/>
          <w:szCs w:val="20"/>
        </w:rPr>
        <w:t>Russel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Wallace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Award</w:t>
      </w:r>
      <w:proofErr w:type="spellEnd"/>
      <w:r>
        <w:rPr>
          <w:rFonts w:ascii="Arial" w:hAnsi="Arial" w:cs="Arial"/>
          <w:sz w:val="20"/>
          <w:szCs w:val="20"/>
        </w:rPr>
        <w:t xml:space="preserve"> (2021). V tuzemsku získal cenu Neuron (2018) nebo </w:t>
      </w:r>
      <w:proofErr w:type="spellStart"/>
      <w:r>
        <w:rPr>
          <w:rFonts w:ascii="Arial" w:hAnsi="Arial" w:cs="Arial"/>
          <w:sz w:val="20"/>
          <w:szCs w:val="20"/>
        </w:rPr>
        <w:t>Praemium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Academiae</w:t>
      </w:r>
      <w:proofErr w:type="spellEnd"/>
      <w:r>
        <w:rPr>
          <w:rFonts w:ascii="Arial" w:hAnsi="Arial" w:cs="Arial"/>
          <w:sz w:val="20"/>
          <w:szCs w:val="20"/>
        </w:rPr>
        <w:t xml:space="preserve"> (2010). V roce 2011 byl zvolen členem Učené společnosti ČR, je také čestným členem České botanické společnosti.</w:t>
      </w:r>
    </w:p>
    <w:p w:rsidR="00681034" w:rsidRDefault="00681034">
      <w:pPr>
        <w:pStyle w:val="Standard"/>
        <w:jc w:val="center"/>
        <w:rPr>
          <w:rFonts w:hint="eastAsia"/>
          <w:sz w:val="28"/>
          <w:szCs w:val="28"/>
        </w:rPr>
      </w:pPr>
    </w:p>
    <w:p w:rsidR="00681034" w:rsidRDefault="00681034">
      <w:pPr>
        <w:ind w:right="-4"/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ind w:right="-4"/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9250C7">
      <w:pPr>
        <w:ind w:right="-4"/>
        <w:jc w:val="center"/>
        <w:rPr>
          <w:rFonts w:ascii="Arial" w:eastAsia="Arial" w:hAnsi="Arial"/>
          <w:b/>
          <w:color w:val="E30613"/>
          <w:sz w:val="34"/>
        </w:rPr>
      </w:pPr>
      <w:r>
        <w:rPr>
          <w:rFonts w:ascii="Arial" w:eastAsia="Arial" w:hAnsi="Arial"/>
          <w:b/>
          <w:color w:val="E30613"/>
          <w:sz w:val="34"/>
        </w:rPr>
        <w:lastRenderedPageBreak/>
        <w:t xml:space="preserve">Cena Zdravotní pojišťovny </w:t>
      </w:r>
      <w:r>
        <w:rPr>
          <w:rFonts w:ascii="Arial" w:eastAsia="Arial" w:hAnsi="Arial"/>
          <w:b/>
          <w:color w:val="E30613"/>
          <w:sz w:val="34"/>
        </w:rPr>
        <w:t xml:space="preserve">Ministerstva vnitra, cena </w:t>
      </w:r>
      <w:proofErr w:type="spellStart"/>
      <w:r>
        <w:rPr>
          <w:rFonts w:ascii="Arial" w:eastAsia="Arial" w:hAnsi="Arial"/>
          <w:b/>
          <w:color w:val="E30613"/>
          <w:sz w:val="34"/>
        </w:rPr>
        <w:t>Lorem</w:t>
      </w:r>
      <w:proofErr w:type="spellEnd"/>
    </w:p>
    <w:p w:rsidR="00681034" w:rsidRDefault="00681034">
      <w:pPr>
        <w:spacing w:line="230" w:lineRule="exact"/>
        <w:rPr>
          <w:rFonts w:ascii="Arial" w:eastAsia="Times New Roman" w:hAnsi="Arial" w:cs="Times New Roman"/>
          <w:b/>
          <w:color w:val="E30613"/>
          <w:sz w:val="34"/>
        </w:rPr>
      </w:pPr>
    </w:p>
    <w:p w:rsidR="00681034" w:rsidRDefault="009250C7">
      <w:pPr>
        <w:spacing w:line="264" w:lineRule="auto"/>
        <w:ind w:left="5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Cena se uděluje za objev, či mimořádný počin z oblasti zdravotnictví, lékařské péče, farmacie a oborů zabývajících se lidským zdravím, či za původní léčebný postup, a to jak v základním, tak aplikovaném výzkumu.</w:t>
      </w:r>
    </w:p>
    <w:p w:rsidR="00681034" w:rsidRDefault="00681034">
      <w:pPr>
        <w:pStyle w:val="Standard"/>
        <w:rPr>
          <w:rFonts w:ascii="Arial" w:eastAsia="Arial" w:hAnsi="Arial"/>
          <w:b/>
          <w:color w:val="E30613"/>
          <w:sz w:val="20"/>
          <w:szCs w:val="20"/>
        </w:rPr>
      </w:pPr>
    </w:p>
    <w:p w:rsidR="00681034" w:rsidRDefault="009250C7">
      <w:pPr>
        <w:pStyle w:val="Standard"/>
        <w:rPr>
          <w:rFonts w:hint="eastAsia"/>
        </w:rPr>
      </w:pPr>
      <w:proofErr w:type="gramStart"/>
      <w:r>
        <w:rPr>
          <w:rFonts w:ascii="Arial" w:eastAsia="Arial" w:hAnsi="Arial" w:cs="Arial"/>
          <w:b/>
          <w:color w:val="E30613"/>
          <w:sz w:val="28"/>
          <w:szCs w:val="28"/>
        </w:rPr>
        <w:t xml:space="preserve">Laureát:  </w:t>
      </w:r>
      <w:r>
        <w:rPr>
          <w:rFonts w:ascii="Arial" w:hAnsi="Arial" w:cs="Arial"/>
          <w:sz w:val="28"/>
          <w:szCs w:val="28"/>
        </w:rPr>
        <w:t>prof.</w:t>
      </w:r>
      <w:proofErr w:type="gramEnd"/>
      <w:r>
        <w:rPr>
          <w:rFonts w:ascii="Arial" w:hAnsi="Arial" w:cs="Arial"/>
          <w:sz w:val="28"/>
          <w:szCs w:val="28"/>
        </w:rPr>
        <w:t xml:space="preserve"> RNDr. Ilona </w:t>
      </w:r>
      <w:proofErr w:type="spellStart"/>
      <w:r>
        <w:rPr>
          <w:rFonts w:ascii="Arial" w:hAnsi="Arial" w:cs="Arial"/>
          <w:sz w:val="28"/>
          <w:szCs w:val="28"/>
        </w:rPr>
        <w:t>Hromadníková</w:t>
      </w:r>
      <w:proofErr w:type="spellEnd"/>
      <w:r>
        <w:rPr>
          <w:rFonts w:ascii="Arial" w:hAnsi="Arial" w:cs="Arial"/>
          <w:sz w:val="28"/>
          <w:szCs w:val="28"/>
        </w:rPr>
        <w:t>, Ph.D.</w:t>
      </w:r>
    </w:p>
    <w:p w:rsidR="00681034" w:rsidRDefault="009250C7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:rsidR="00681034" w:rsidRDefault="009250C7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Způsob predikce těhotenských komplikací dle expresního profilu kardiovaskulárních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miRNA</w:t>
      </w:r>
      <w:proofErr w:type="spellEnd"/>
    </w:p>
    <w:p w:rsidR="00681034" w:rsidRDefault="00681034">
      <w:pPr>
        <w:pStyle w:val="Standard"/>
        <w:rPr>
          <w:rFonts w:hint="eastAsia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Až deset procent těhotných žen trpí zvýšeným krevním tlakem a tzv. </w:t>
      </w:r>
      <w:proofErr w:type="spellStart"/>
      <w:r>
        <w:rPr>
          <w:rFonts w:ascii="Arial" w:hAnsi="Arial" w:cs="Arial"/>
          <w:sz w:val="20"/>
          <w:szCs w:val="20"/>
        </w:rPr>
        <w:t>preeklampsii</w:t>
      </w:r>
      <w:proofErr w:type="spellEnd"/>
      <w:r>
        <w:rPr>
          <w:rFonts w:ascii="Arial" w:hAnsi="Arial" w:cs="Arial"/>
          <w:sz w:val="20"/>
          <w:szCs w:val="20"/>
        </w:rPr>
        <w:t xml:space="preserve">, fetální růstovou  restrikcí a </w:t>
      </w:r>
      <w:r>
        <w:rPr>
          <w:rFonts w:ascii="Arial" w:hAnsi="Arial" w:cs="Arial"/>
          <w:sz w:val="20"/>
          <w:szCs w:val="20"/>
        </w:rPr>
        <w:t xml:space="preserve">další onemocnění, která  mohou  způsobit řadu zdravotních komplikací jak u </w:t>
      </w:r>
      <w:proofErr w:type="gramStart"/>
      <w:r>
        <w:rPr>
          <w:rFonts w:ascii="Arial" w:hAnsi="Arial" w:cs="Arial"/>
          <w:sz w:val="20"/>
          <w:szCs w:val="20"/>
        </w:rPr>
        <w:t>matky tak</w:t>
      </w:r>
      <w:proofErr w:type="gramEnd"/>
      <w:r>
        <w:rPr>
          <w:rFonts w:ascii="Arial" w:hAnsi="Arial" w:cs="Arial"/>
          <w:sz w:val="20"/>
          <w:szCs w:val="20"/>
        </w:rPr>
        <w:t xml:space="preserve"> u dítěte. Hrozí mozková mrtvice, malý růst plodu, spontánní předčasný porod, úniky plodové vody atd. Některé změny se mohou projevit až po mnoha letech a jsou často nevrat</w:t>
      </w:r>
      <w:r>
        <w:rPr>
          <w:rFonts w:ascii="Arial" w:hAnsi="Arial" w:cs="Arial"/>
          <w:sz w:val="20"/>
          <w:szCs w:val="20"/>
        </w:rPr>
        <w:t>né.</w:t>
      </w:r>
    </w:p>
    <w:p w:rsidR="00681034" w:rsidRDefault="0068103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známá příčina těchto onemocnění a to je porucha funkce </w:t>
      </w:r>
      <w:proofErr w:type="spellStart"/>
      <w:r>
        <w:rPr>
          <w:rFonts w:ascii="Arial" w:hAnsi="Arial" w:cs="Arial"/>
          <w:sz w:val="20"/>
          <w:szCs w:val="20"/>
        </w:rPr>
        <w:t>mikroRNA</w:t>
      </w:r>
      <w:proofErr w:type="spellEnd"/>
      <w:r>
        <w:rPr>
          <w:rFonts w:ascii="Arial" w:hAnsi="Arial" w:cs="Arial"/>
          <w:sz w:val="20"/>
          <w:szCs w:val="20"/>
        </w:rPr>
        <w:t xml:space="preserve"> molekul, které jsou odpovědné v organizmu za řízení kardiovaskulárního systému. Včas zjistit příčiny zvýšeného krevního tlaku u těhotných žen je tedy velmi důležité a může se tak přede</w:t>
      </w:r>
      <w:r>
        <w:rPr>
          <w:rFonts w:ascii="Arial" w:hAnsi="Arial" w:cs="Arial"/>
          <w:sz w:val="20"/>
          <w:szCs w:val="20"/>
        </w:rPr>
        <w:t>jít vážným komplikacím. Současné metody však vážná onemocnění spojená se zvýšeným krevním tlakem odhalí jen u třetiny, někdy jen u čtvrtiny skutečně nemocných žen, přičemž i nové metody diagnostiky těchto onemocnění, která jsou geneticky podmíněná, jsou sc</w:t>
      </w:r>
      <w:r>
        <w:rPr>
          <w:rFonts w:ascii="Arial" w:hAnsi="Arial" w:cs="Arial"/>
          <w:sz w:val="20"/>
          <w:szCs w:val="20"/>
        </w:rPr>
        <w:t>hopné nemoc zjistit a v pozdějších fázích těhotenství, kdy už následky onemocnění se mohou projevovat a na prevenci je již pozdě.</w:t>
      </w:r>
    </w:p>
    <w:p w:rsidR="00681034" w:rsidRDefault="0068103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Ilona </w:t>
      </w:r>
      <w:proofErr w:type="spellStart"/>
      <w:r>
        <w:rPr>
          <w:rFonts w:ascii="Arial" w:hAnsi="Arial" w:cs="Arial"/>
          <w:sz w:val="20"/>
          <w:szCs w:val="20"/>
        </w:rPr>
        <w:t>Hromadníková</w:t>
      </w:r>
      <w:proofErr w:type="spellEnd"/>
      <w:r>
        <w:rPr>
          <w:rFonts w:ascii="Arial" w:hAnsi="Arial" w:cs="Arial"/>
          <w:sz w:val="20"/>
          <w:szCs w:val="20"/>
        </w:rPr>
        <w:t xml:space="preserve"> vyvinula novou metodu diagnostiky těchto onemocnění u těhotných žen spojených s vysokým krevním tlakem, kt</w:t>
      </w:r>
      <w:r>
        <w:rPr>
          <w:rFonts w:ascii="Arial" w:hAnsi="Arial" w:cs="Arial"/>
          <w:sz w:val="20"/>
          <w:szCs w:val="20"/>
        </w:rPr>
        <w:t>erá umožňuje nemoc zjistit včas, s vysokou přesností a navíc v dostatečném předstihu. Metoda je uplatnitelná v každé průměrně vybavené genetické laboratoři, takže je i dostupná.</w:t>
      </w:r>
    </w:p>
    <w:p w:rsidR="00681034" w:rsidRDefault="009250C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Nová metoda byla patentována a licencována výrobní firmě, která nyní připravuj</w:t>
      </w:r>
      <w:r>
        <w:rPr>
          <w:rFonts w:ascii="Arial" w:hAnsi="Arial" w:cs="Arial"/>
          <w:sz w:val="20"/>
          <w:szCs w:val="20"/>
        </w:rPr>
        <w:t xml:space="preserve">e diagnostický </w:t>
      </w:r>
      <w:proofErr w:type="spellStart"/>
      <w:r>
        <w:rPr>
          <w:rFonts w:ascii="Arial" w:hAnsi="Arial" w:cs="Arial"/>
          <w:sz w:val="20"/>
          <w:szCs w:val="20"/>
        </w:rPr>
        <w:t>kit</w:t>
      </w:r>
      <w:proofErr w:type="spellEnd"/>
      <w:r>
        <w:rPr>
          <w:rFonts w:ascii="Arial" w:hAnsi="Arial" w:cs="Arial"/>
          <w:sz w:val="20"/>
          <w:szCs w:val="20"/>
        </w:rPr>
        <w:t xml:space="preserve"> k dodávkám na trh.</w:t>
      </w:r>
    </w:p>
    <w:p w:rsidR="00681034" w:rsidRDefault="0068103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své práci Ilona </w:t>
      </w:r>
      <w:proofErr w:type="spellStart"/>
      <w:r>
        <w:rPr>
          <w:rFonts w:ascii="Arial" w:hAnsi="Arial" w:cs="Arial"/>
          <w:sz w:val="20"/>
          <w:szCs w:val="20"/>
        </w:rPr>
        <w:t>Hromadníková</w:t>
      </w:r>
      <w:proofErr w:type="spellEnd"/>
      <w:r>
        <w:rPr>
          <w:rFonts w:ascii="Arial" w:hAnsi="Arial" w:cs="Arial"/>
          <w:sz w:val="20"/>
          <w:szCs w:val="20"/>
        </w:rPr>
        <w:t xml:space="preserve"> objevila i dosud neznámou skutečnost, a to že nemocemi spojenými s vysokým tlakem trpí i děti, které se narodily z komplikované gravidity. I pro tyto případy vyvinula diagnostiku, která</w:t>
      </w:r>
      <w:r>
        <w:rPr>
          <w:rFonts w:ascii="Arial" w:hAnsi="Arial" w:cs="Arial"/>
          <w:sz w:val="20"/>
          <w:szCs w:val="20"/>
        </w:rPr>
        <w:t xml:space="preserve"> je též patentována a připravuje se pro trh.</w:t>
      </w:r>
    </w:p>
    <w:p w:rsidR="00681034" w:rsidRDefault="00681034">
      <w:pPr>
        <w:pStyle w:val="Standard"/>
        <w:rPr>
          <w:rFonts w:ascii="Arial" w:hAnsi="Arial" w:cs="Arial"/>
          <w:sz w:val="20"/>
          <w:szCs w:val="20"/>
        </w:rPr>
      </w:pPr>
    </w:p>
    <w:p w:rsidR="00681034" w:rsidRDefault="00681034">
      <w:pPr>
        <w:jc w:val="center"/>
        <w:rPr>
          <w:rFonts w:ascii="Arial" w:eastAsia="Arial" w:hAnsi="Arial" w:cs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4"/>
        </w:rPr>
      </w:pPr>
    </w:p>
    <w:p w:rsidR="00681034" w:rsidRDefault="009250C7">
      <w:pPr>
        <w:jc w:val="center"/>
        <w:rPr>
          <w:rFonts w:ascii="Arial" w:eastAsia="Arial" w:hAnsi="Arial"/>
          <w:b/>
          <w:color w:val="E30613"/>
          <w:sz w:val="34"/>
        </w:rPr>
      </w:pPr>
      <w:r>
        <w:rPr>
          <w:rFonts w:ascii="Arial" w:eastAsia="Arial" w:hAnsi="Arial"/>
          <w:b/>
          <w:color w:val="E30613"/>
          <w:sz w:val="34"/>
        </w:rPr>
        <w:lastRenderedPageBreak/>
        <w:t>Cena společnosti ABB, cena Invence</w:t>
      </w:r>
    </w:p>
    <w:p w:rsidR="00681034" w:rsidRDefault="00681034">
      <w:pPr>
        <w:spacing w:line="210" w:lineRule="exact"/>
        <w:rPr>
          <w:rFonts w:ascii="Arial" w:eastAsia="Times New Roman" w:hAnsi="Arial" w:cs="Times New Roman"/>
          <w:b/>
          <w:color w:val="E30613"/>
          <w:sz w:val="34"/>
        </w:rPr>
      </w:pPr>
    </w:p>
    <w:p w:rsidR="00681034" w:rsidRDefault="009250C7">
      <w:pPr>
        <w:spacing w:line="312" w:lineRule="auto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Cena se uděluje za objev či mimořádný počin uskutečněný v posledních několika letech v oblasti základního nebo aplikovaného výzkumu, či za technologickou </w:t>
      </w:r>
      <w:r>
        <w:rPr>
          <w:rFonts w:ascii="Arial" w:eastAsia="Arial" w:hAnsi="Arial"/>
          <w:b/>
          <w:sz w:val="20"/>
          <w:szCs w:val="20"/>
        </w:rPr>
        <w:t>inovaci s přihlédnutím k perspektivě využitelnosti v praxi.</w:t>
      </w:r>
    </w:p>
    <w:p w:rsidR="00681034" w:rsidRDefault="00681034">
      <w:pPr>
        <w:spacing w:line="395" w:lineRule="exact"/>
        <w:rPr>
          <w:rFonts w:ascii="Arial" w:eastAsia="Times New Roman" w:hAnsi="Arial" w:cs="Times New Roman"/>
          <w:b/>
          <w:sz w:val="19"/>
        </w:rPr>
      </w:pPr>
    </w:p>
    <w:p w:rsidR="00681034" w:rsidRDefault="009250C7">
      <w:pPr>
        <w:pStyle w:val="Standard"/>
        <w:rPr>
          <w:rFonts w:hint="eastAsia"/>
        </w:rPr>
      </w:pPr>
      <w:r>
        <w:rPr>
          <w:rFonts w:ascii="Arial" w:eastAsia="Arial" w:hAnsi="Arial" w:cs="Arial"/>
          <w:b/>
          <w:color w:val="E30613"/>
          <w:sz w:val="28"/>
          <w:szCs w:val="28"/>
        </w:rPr>
        <w:t xml:space="preserve">Laureát: </w:t>
      </w:r>
      <w:r>
        <w:rPr>
          <w:rFonts w:ascii="Arial" w:hAnsi="Arial" w:cs="Arial"/>
          <w:sz w:val="28"/>
          <w:szCs w:val="28"/>
        </w:rPr>
        <w:t xml:space="preserve">Martina Benešová </w:t>
      </w:r>
      <w:r w:rsidRPr="009250C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9250C7">
        <w:rPr>
          <w:rFonts w:ascii="Arial" w:hAnsi="Arial" w:cs="Arial"/>
          <w:sz w:val="28"/>
          <w:szCs w:val="28"/>
        </w:rPr>
        <w:t>Schäfer</w:t>
      </w:r>
      <w:proofErr w:type="spellEnd"/>
      <w:r>
        <w:rPr>
          <w:rFonts w:ascii="Arial" w:hAnsi="Arial" w:cs="Arial"/>
          <w:sz w:val="28"/>
          <w:szCs w:val="28"/>
        </w:rPr>
        <w:t xml:space="preserve">, Dr. </w:t>
      </w:r>
      <w:proofErr w:type="spellStart"/>
      <w:r>
        <w:rPr>
          <w:rFonts w:ascii="Arial" w:hAnsi="Arial" w:cs="Arial"/>
          <w:sz w:val="28"/>
          <w:szCs w:val="28"/>
        </w:rPr>
        <w:t>rer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nat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681034" w:rsidRDefault="009250C7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681034" w:rsidRDefault="009250C7">
      <w:pPr>
        <w:pStyle w:val="Standard"/>
        <w:rPr>
          <w:rFonts w:hint="eastAsia"/>
        </w:rPr>
      </w:pPr>
      <w:r>
        <w:rPr>
          <w:rFonts w:ascii="Arial" w:hAnsi="Arial" w:cs="Arial"/>
          <w:b/>
          <w:sz w:val="20"/>
          <w:szCs w:val="20"/>
        </w:rPr>
        <w:t>Rakovina prostaty je jednou z nejčastějších příčin úmrtí</w:t>
      </w:r>
    </w:p>
    <w:p w:rsidR="00681034" w:rsidRDefault="009250C7">
      <w:pPr>
        <w:pStyle w:val="Normlnweb"/>
        <w:jc w:val="both"/>
      </w:pPr>
      <w:r>
        <w:rPr>
          <w:rFonts w:ascii="Arial" w:hAnsi="Arial" w:cs="Arial"/>
          <w:sz w:val="20"/>
          <w:szCs w:val="20"/>
        </w:rPr>
        <w:t xml:space="preserve">Rakovina prostaty je jedním z nejčastěji se vyskytujících typů rakoviny. Přibližně 35% všech mužů již má rakovinu prostaty okolo padesátého roku života a 80% mužů okolo sedmdesátého roku života.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Relevantní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rakovina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žen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Ano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ženy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mají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také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tzv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Skene´s Glands,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byly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oficiálně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uznány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jako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ženska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2004.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Ženy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mohou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rovněž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dostat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rakovinu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těchto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žláz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 ta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stejné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projevy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jako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rakovina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u </w:t>
      </w:r>
      <w:r>
        <w:rPr>
          <w:rFonts w:ascii="Arial" w:hAnsi="Arial" w:cs="Arial"/>
          <w:sz w:val="20"/>
          <w:szCs w:val="20"/>
        </w:rPr>
        <w:t>mužů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681034" w:rsidRDefault="009250C7">
      <w:pPr>
        <w:pStyle w:val="Normlnweb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Léčba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rakoviny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komplikovaná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Převážně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aplikuje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</w:t>
      </w:r>
      <w:r>
        <w:rPr>
          <w:rFonts w:ascii="Arial" w:hAnsi="Arial" w:cs="Arial"/>
          <w:sz w:val="20"/>
          <w:szCs w:val="20"/>
          <w:lang w:val="en-US"/>
        </w:rPr>
        <w:t>adikální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prostatektomie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odejmutí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často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spojené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impotencí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inkontinencí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dále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také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hormonální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terapie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chemoterapie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mnoha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případech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ale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nepříliš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úspěšně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Úmrtnost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rakovinu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stále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velmi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vysoká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81034" w:rsidRDefault="009250C7">
      <w:pPr>
        <w:pStyle w:val="Normlnweb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Mladá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absolventka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Univerzity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K</w:t>
      </w:r>
      <w:r>
        <w:rPr>
          <w:rFonts w:ascii="Arial" w:hAnsi="Arial" w:cs="Arial"/>
          <w:sz w:val="20"/>
          <w:szCs w:val="20"/>
          <w:lang w:val="en-US"/>
        </w:rPr>
        <w:t xml:space="preserve">arlovy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doktorské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studium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absolvovala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Centru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pro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výzkum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rakoviny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Německu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Zde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začala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věnovat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designu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radionuklidů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byly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schopny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rakovinu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diagnostikovat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zároveň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léčit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současně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monitorovat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postup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léčby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681034" w:rsidRDefault="009250C7">
      <w:pPr>
        <w:pStyle w:val="Normlnweb"/>
        <w:jc w:val="both"/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Podařilo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vyvinout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radiofarmakum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unikátních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vlastností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které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umožňuje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detekci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zobrazení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nemoci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farmakum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 PET/SPECT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radionuklidem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také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léčbu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stejným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farmakem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ale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tentokrát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terapeutickým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radionuklidem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Navíc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radiofarmaka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umožňují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navázání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různě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silných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terapeut</w:t>
      </w:r>
      <w:r>
        <w:rPr>
          <w:rFonts w:ascii="Arial" w:hAnsi="Arial" w:cs="Arial"/>
          <w:sz w:val="20"/>
          <w:szCs w:val="20"/>
          <w:lang w:val="en-US"/>
        </w:rPr>
        <w:t>ických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radionuklidů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záleží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rozsahu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závažnosti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onemocnění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Konečně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přímá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kontrola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úspěchu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léčby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provede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opětovném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nasazení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stejného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farmaka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 PET/SPECT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radionuklidem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zobrazování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Jedná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tedy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tzv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Theranostic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approach”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therapie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diagno</w:t>
      </w:r>
      <w:r>
        <w:rPr>
          <w:rFonts w:ascii="Arial" w:hAnsi="Arial" w:cs="Arial"/>
          <w:sz w:val="20"/>
          <w:szCs w:val="20"/>
          <w:lang w:val="en-US"/>
        </w:rPr>
        <w:t>stika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jednom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také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tzv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“Personalized/Precision Medicine approach”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díky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tomu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předem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vidime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bude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farmakum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distribuovat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kolik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pacient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metastáz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vysoká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akumulace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léčiva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možné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pro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každého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pacienta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upravit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dávkováni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optimál</w:t>
      </w:r>
      <w:r>
        <w:rPr>
          <w:rFonts w:ascii="Arial" w:hAnsi="Arial" w:cs="Arial"/>
          <w:sz w:val="20"/>
          <w:szCs w:val="20"/>
          <w:lang w:val="en-US"/>
        </w:rPr>
        <w:t>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možnou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hladinu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Díky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tomu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že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se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farmaka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váží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specificky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membránový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antigen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povrchu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buněk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rakoviny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prostaty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(PSMA),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nedochází</w:t>
      </w:r>
      <w:proofErr w:type="spellEnd"/>
      <w:r>
        <w:rPr>
          <w:rFonts w:ascii="Arial" w:hAnsi="Arial" w:cs="Arial"/>
          <w:color w:val="244061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k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rozsáhlým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negativním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účinkům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jako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například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systémové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chemoterapie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81034" w:rsidRDefault="009250C7">
      <w:pPr>
        <w:pStyle w:val="Normlnweb"/>
        <w:jc w:val="both"/>
      </w:pPr>
      <w:proofErr w:type="spellStart"/>
      <w:r>
        <w:rPr>
          <w:rFonts w:ascii="Arial" w:hAnsi="Arial" w:cs="Arial"/>
          <w:sz w:val="20"/>
          <w:szCs w:val="20"/>
          <w:lang w:val="en-US"/>
        </w:rPr>
        <w:t>Nové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radiofarmakum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bylo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patentováno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 xml:space="preserve">a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prošlo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ú</w:t>
      </w:r>
      <w:r>
        <w:rPr>
          <w:rFonts w:ascii="Arial" w:hAnsi="Arial" w:cs="Arial"/>
          <w:sz w:val="20"/>
          <w:szCs w:val="20"/>
          <w:lang w:val="en-US"/>
        </w:rPr>
        <w:t>spěšně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všemi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fázemi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klinických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testů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vynikajícími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výsledky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pacientů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bylo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schváleno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americkým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autorizačním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úřadem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k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používání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běžné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praxi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Licenci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koupila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nadnárodní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společnost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Novartis 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současná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tržní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hodnota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radiofarmaka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odhaduje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4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miliard</w:t>
      </w:r>
      <w:r>
        <w:rPr>
          <w:rFonts w:ascii="Arial" w:hAnsi="Arial" w:cs="Arial"/>
          <w:sz w:val="20"/>
          <w:szCs w:val="20"/>
          <w:lang w:val="en-US"/>
        </w:rPr>
        <w:t>y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dolarů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68103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681034" w:rsidRDefault="009250C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Cena společnosti IDEA </w:t>
      </w:r>
      <w:proofErr w:type="spellStart"/>
      <w:r>
        <w:rPr>
          <w:rFonts w:ascii="Arial" w:hAnsi="Arial" w:cs="Arial"/>
          <w:b/>
          <w:color w:val="FF0000"/>
          <w:sz w:val="32"/>
          <w:szCs w:val="32"/>
        </w:rPr>
        <w:t>StatiCa</w:t>
      </w:r>
      <w:proofErr w:type="spellEnd"/>
      <w:r>
        <w:rPr>
          <w:rFonts w:ascii="Arial" w:hAnsi="Arial" w:cs="Arial"/>
          <w:b/>
          <w:color w:val="FF0000"/>
          <w:sz w:val="32"/>
          <w:szCs w:val="32"/>
        </w:rPr>
        <w:t>, cena Industrie</w:t>
      </w:r>
    </w:p>
    <w:p w:rsidR="00681034" w:rsidRDefault="00681034">
      <w:pPr>
        <w:rPr>
          <w:rFonts w:hint="eastAsia"/>
          <w:b/>
          <w:color w:val="FF0000"/>
        </w:rPr>
      </w:pPr>
    </w:p>
    <w:p w:rsidR="00681034" w:rsidRDefault="009250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se uděluje za nejvýznamnější výrobkovou nebo technologickou inovaci, která vznikla na území České republiky v posledních několika letech na základě vlastního výzkumu či ve spolupráci</w:t>
      </w:r>
      <w:r>
        <w:rPr>
          <w:rFonts w:ascii="Arial" w:hAnsi="Arial" w:cs="Arial"/>
          <w:b/>
          <w:sz w:val="20"/>
          <w:szCs w:val="20"/>
        </w:rPr>
        <w:t xml:space="preserve"> s výzkumnou organizací.</w:t>
      </w:r>
    </w:p>
    <w:p w:rsidR="00681034" w:rsidRDefault="009250C7">
      <w:pPr>
        <w:pStyle w:val="Normlnweb"/>
        <w:jc w:val="both"/>
      </w:pPr>
      <w:r>
        <w:rPr>
          <w:rFonts w:ascii="Arial" w:eastAsia="Arial" w:hAnsi="Arial"/>
          <w:b/>
          <w:color w:val="E30613"/>
          <w:sz w:val="28"/>
          <w:szCs w:val="28"/>
        </w:rPr>
        <w:t xml:space="preserve">Laureát: </w:t>
      </w:r>
      <w:proofErr w:type="gramStart"/>
      <w:r>
        <w:rPr>
          <w:rFonts w:ascii="Arial" w:hAnsi="Arial" w:cs="Arial"/>
          <w:kern w:val="0"/>
          <w:sz w:val="28"/>
          <w:szCs w:val="28"/>
          <w:lang w:bidi="ar-SA"/>
        </w:rPr>
        <w:t xml:space="preserve">CESNET, </w:t>
      </w:r>
      <w:proofErr w:type="spellStart"/>
      <w:r>
        <w:rPr>
          <w:rFonts w:ascii="Arial" w:hAnsi="Arial" w:cs="Arial"/>
          <w:kern w:val="0"/>
          <w:sz w:val="28"/>
          <w:szCs w:val="28"/>
          <w:lang w:bidi="ar-SA"/>
        </w:rPr>
        <w:t>z.s.</w:t>
      </w:r>
      <w:proofErr w:type="gramEnd"/>
      <w:r>
        <w:rPr>
          <w:rFonts w:ascii="Arial" w:hAnsi="Arial" w:cs="Arial"/>
          <w:kern w:val="0"/>
          <w:sz w:val="28"/>
          <w:szCs w:val="28"/>
          <w:lang w:bidi="ar-SA"/>
        </w:rPr>
        <w:t>p.o</w:t>
      </w:r>
      <w:proofErr w:type="spellEnd"/>
      <w:r>
        <w:rPr>
          <w:rFonts w:ascii="Arial" w:hAnsi="Arial" w:cs="Arial"/>
          <w:kern w:val="0"/>
          <w:sz w:val="28"/>
          <w:szCs w:val="28"/>
          <w:lang w:bidi="ar-SA"/>
        </w:rPr>
        <w:t>.</w:t>
      </w:r>
    </w:p>
    <w:p w:rsidR="00681034" w:rsidRDefault="009250C7">
      <w:pPr>
        <w:suppressAutoHyphens w:val="0"/>
        <w:textAlignment w:val="auto"/>
        <w:rPr>
          <w:rFonts w:hint="eastAsia"/>
        </w:rPr>
      </w:pPr>
      <w:proofErr w:type="spellStart"/>
      <w:r>
        <w:rPr>
          <w:rFonts w:ascii="Arial" w:hAnsi="Arial" w:cs="Arial"/>
          <w:b/>
          <w:kern w:val="0"/>
          <w:sz w:val="20"/>
          <w:szCs w:val="20"/>
          <w:lang w:bidi="ar-SA"/>
        </w:rPr>
        <w:t>Nízkolatenční</w:t>
      </w:r>
      <w:proofErr w:type="spellEnd"/>
      <w:r>
        <w:rPr>
          <w:rFonts w:ascii="Arial" w:hAnsi="Arial" w:cs="Arial"/>
          <w:b/>
          <w:kern w:val="0"/>
          <w:sz w:val="20"/>
          <w:szCs w:val="20"/>
          <w:lang w:bidi="ar-SA"/>
        </w:rPr>
        <w:t xml:space="preserve"> přenosy pro distanční spolupráci</w:t>
      </w:r>
    </w:p>
    <w:p w:rsidR="00681034" w:rsidRDefault="00681034">
      <w:pPr>
        <w:rPr>
          <w:rFonts w:hint="eastAsia"/>
        </w:rPr>
      </w:pPr>
    </w:p>
    <w:p w:rsidR="00681034" w:rsidRDefault="009250C7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Výsledkem výzkumu a vývoje firmy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Cesnet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zařízení pro přenosy obrazu a zvuku přes počítačovou síť na velké vzdálenosti s mimořádně malým časovým zpožděním,</w:t>
      </w:r>
      <w:r>
        <w:rPr>
          <w:rFonts w:ascii="Arial" w:hAnsi="Arial" w:cs="Arial"/>
          <w:color w:val="000000"/>
          <w:sz w:val="20"/>
          <w:szCs w:val="20"/>
        </w:rPr>
        <w:t xml:space="preserve"> umožňující distanční spolupráci v reálném čase v oblastech kriticky citlivých na zpoždění komunikace  -obchodní značka zařízení je MVTP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Modular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Video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Transmission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Platform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 Hlavní oblastí využití je spolupráce v kultuře v mezinárodním měřítku. Přidané z</w:t>
      </w:r>
      <w:r>
        <w:rPr>
          <w:rFonts w:ascii="Arial" w:hAnsi="Arial" w:cs="Arial"/>
          <w:color w:val="000000"/>
          <w:sz w:val="20"/>
          <w:szCs w:val="20"/>
        </w:rPr>
        <w:t xml:space="preserve">poždění vysílače a přijímače společně je v rozsahu 1-3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ms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681034" w:rsidRDefault="009250C7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Zařízení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umožňuje  přinést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nové možnosti spolupráce, vzdělávání, interpretace a prezentace v kultuře mezi umělci, učiteli a studenty a podpořit nové způsoby kulturní výměny na evropské úrovni.</w:t>
      </w:r>
    </w:p>
    <w:p w:rsidR="00681034" w:rsidRDefault="0068103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Vz</w:t>
      </w:r>
      <w:r>
        <w:rPr>
          <w:rFonts w:ascii="Arial" w:hAnsi="Arial" w:cs="Arial"/>
          <w:color w:val="000000"/>
          <w:sz w:val="20"/>
          <w:szCs w:val="20"/>
        </w:rPr>
        <w:t xml:space="preserve">dálenosti v evropském měřítku představují v optických síťových kabelech zpoždění v rozsahu 10-20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Zpoždění je dané rychlostí šíření světla v optických vláknech, typickými délkami koridorů s položenými kabely a nezbytným počtem směrovačů na trase. To je </w:t>
      </w:r>
      <w:r>
        <w:rPr>
          <w:rFonts w:ascii="Arial" w:hAnsi="Arial" w:cs="Arial"/>
          <w:color w:val="000000"/>
          <w:sz w:val="20"/>
          <w:szCs w:val="20"/>
        </w:rPr>
        <w:t>samo o sobě blízké kritické hranici pro souhru v hudbě. Možnosti snížení zpoždění na síti jsou velmi omezené.</w:t>
      </w:r>
    </w:p>
    <w:p w:rsidR="00681034" w:rsidRDefault="0068103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 xml:space="preserve">Vznikla proto myšlenka vytvořit nový typ zařízení pro přenosy obrazu a zvuku, které by dokázalo zpracovat a přenést zvuk i obraz včetně komprese </w:t>
      </w:r>
      <w:r>
        <w:rPr>
          <w:rFonts w:ascii="Arial" w:hAnsi="Arial" w:cs="Arial"/>
          <w:color w:val="000000"/>
          <w:sz w:val="20"/>
          <w:szCs w:val="20"/>
        </w:rPr>
        <w:t>a dekomprese s přidaným zpožděním v řádu nižších jednotek milisekund. Takové zařízení nebylo k dispozici na mezinárodním trhu.</w:t>
      </w:r>
    </w:p>
    <w:p w:rsidR="00681034" w:rsidRDefault="0068103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Vyvinuté zařízení tento požadavek splňuje. Kvalita obrazu navíc překračuje standard HDTV produkce. Podle varianty je obraz přená</w:t>
      </w:r>
      <w:r>
        <w:rPr>
          <w:rFonts w:ascii="Arial" w:hAnsi="Arial" w:cs="Arial"/>
          <w:color w:val="000000"/>
          <w:sz w:val="20"/>
          <w:szCs w:val="20"/>
        </w:rPr>
        <w:t>šen v rozlišení HD nebo 4K s kompresí typu TICO nebo JPEG XS. Přenos je vždy obousměrný. Jde o samostatné zařízení, bez PC a software a je tak jednoduše použitelné i pracovníky mimo oblast IT. Zařízení je založené na programovatelném hradlovém poli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Field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Programmable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Array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FPGA) a využívá unikátní řešení přijímače s nízkou latencí, tvořeného obvodovým zapojením na desce plošných spojů a číslicovým návrhem v jazyce VHDL. Oproti PC a software má zařízení vysokou energetickou účinnost a umožňuje trvalý</w:t>
      </w:r>
      <w:r>
        <w:rPr>
          <w:rFonts w:ascii="Arial" w:hAnsi="Arial" w:cs="Arial"/>
          <w:color w:val="000000"/>
          <w:sz w:val="20"/>
          <w:szCs w:val="20"/>
        </w:rPr>
        <w:t xml:space="preserve"> provoz při plné zátěži při pasivním chlazení, je proto zcela tiché a vhodné i pro koncertní síně a nahrávací studia.</w:t>
      </w:r>
    </w:p>
    <w:p w:rsidR="00681034" w:rsidRDefault="00681034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681034" w:rsidRDefault="009250C7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Výsledek umožňuje zásadně novou formu spolupráce a kulturní výměny, šetří čas a cestovní náklady. Příkladem jsou propojení cenných a hist</w:t>
      </w:r>
      <w:r>
        <w:rPr>
          <w:rFonts w:ascii="Arial" w:hAnsi="Arial" w:cs="Arial"/>
          <w:color w:val="000000"/>
          <w:sz w:val="20"/>
          <w:szCs w:val="20"/>
        </w:rPr>
        <w:t>orických nástrojů nebo například varhan, které není možné přemísťovat a přesto je možná spolupráce hudebníků a pedagogů s jejich využitím.</w:t>
      </w:r>
    </w:p>
    <w:p w:rsidR="00681034" w:rsidRDefault="0068103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Některé hudební akademie jsou známé svými odbornými znalostmi v určitých oblastech. Komunikace mezi hudebníky napříč</w:t>
      </w:r>
      <w:r>
        <w:rPr>
          <w:rFonts w:ascii="Arial" w:hAnsi="Arial" w:cs="Arial"/>
          <w:color w:val="000000"/>
          <w:sz w:val="20"/>
          <w:szCs w:val="20"/>
        </w:rPr>
        <w:t xml:space="preserve"> Evropou je proto významná pro sdílení různých názorů a obohacování zkušeností. Jde o součást evropského nehmotného kulturního dědictví. Otevírá se široký prostor nových možností. Například, plánují se přijímací zkoušky pro studenty na dálku, které mohou z</w:t>
      </w:r>
      <w:r>
        <w:rPr>
          <w:rFonts w:ascii="Arial" w:hAnsi="Arial" w:cs="Arial"/>
          <w:color w:val="000000"/>
          <w:sz w:val="20"/>
          <w:szCs w:val="20"/>
        </w:rPr>
        <w:t>výšit kvalitu programu Erasmus realističtějšími živými zkouškami ve srovnání se záznamy a zároveň ušetřit cestování uchazečů na velké vzdálenosti.</w:t>
      </w:r>
    </w:p>
    <w:p w:rsidR="00681034" w:rsidRDefault="0068103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hint="eastAsia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Nízkolatenční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přenosy byly již využity i např. pro distanční vyšetření hlasu specialistou, přenosy lékařskýc</w:t>
      </w:r>
      <w:r>
        <w:rPr>
          <w:rFonts w:ascii="Arial" w:hAnsi="Arial" w:cs="Arial"/>
          <w:color w:val="000000"/>
          <w:sz w:val="20"/>
          <w:szCs w:val="20"/>
        </w:rPr>
        <w:t>h operací s možností komunikace s chirurgem nebo pro distanční spolupráci s využitím sdílených 3D modelů.</w:t>
      </w:r>
    </w:p>
    <w:p w:rsidR="00681034" w:rsidRDefault="0068103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Zařízení je v současné době jediným výrobkem umožňujícím přenosy zvuku a obrazu přes rozlehlou počítačovou síť s přidaným zpožděním v řádu jednotek m</w:t>
      </w:r>
      <w:r>
        <w:rPr>
          <w:rFonts w:ascii="Arial" w:hAnsi="Arial" w:cs="Arial"/>
          <w:color w:val="000000"/>
          <w:sz w:val="20"/>
          <w:szCs w:val="20"/>
        </w:rPr>
        <w:t>ilisekund. Žádný obdobný výrobek není na mezinárodním trhu k dispozici.</w:t>
      </w:r>
    </w:p>
    <w:p w:rsidR="00681034" w:rsidRDefault="00681034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681034" w:rsidRDefault="009250C7">
      <w:pPr>
        <w:pStyle w:val="Standard"/>
        <w:jc w:val="both"/>
        <w:rPr>
          <w:rFonts w:hint="eastAsia"/>
        </w:rPr>
      </w:pPr>
      <w:r>
        <w:rPr>
          <w:rFonts w:ascii="Arial" w:hAnsi="Arial" w:cs="Arial"/>
          <w:color w:val="000000"/>
          <w:sz w:val="20"/>
          <w:szCs w:val="20"/>
        </w:rPr>
        <w:t>Celá výroba zařízení probíhá v České republice. Jednotlivé součástky a komponenty s nízkou přidanou hodnotou jsou pořizovány od dodavatelů z vyspělých zemí EU a mimo EU. Převážná větš</w:t>
      </w:r>
      <w:r>
        <w:rPr>
          <w:rFonts w:ascii="Arial" w:hAnsi="Arial" w:cs="Arial"/>
          <w:color w:val="000000"/>
          <w:sz w:val="20"/>
          <w:szCs w:val="20"/>
        </w:rPr>
        <w:t>ina přidané hodnoty a kompletní výrobek jsou následně vytvořeny v České republice. Výsledný výrobek je následně prodáván zpět zákazníkům ve vyspělých zemích EU.</w:t>
      </w:r>
    </w:p>
    <w:p w:rsidR="00681034" w:rsidRDefault="00681034">
      <w:pPr>
        <w:pStyle w:val="Normlnweb"/>
        <w:jc w:val="both"/>
        <w:rPr>
          <w:lang w:val="en-US"/>
        </w:rPr>
      </w:pPr>
    </w:p>
    <w:p w:rsidR="00681034" w:rsidRDefault="009250C7">
      <w:pPr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  <w:lastRenderedPageBreak/>
        <w:t>Cena společnosti ČEZ</w:t>
      </w:r>
      <w:r>
        <w:rPr>
          <w:rFonts w:ascii="Arial" w:eastAsia="Arial" w:hAnsi="Arial"/>
          <w:b/>
          <w:color w:val="FF0000"/>
          <w:sz w:val="32"/>
          <w:szCs w:val="32"/>
        </w:rPr>
        <w:t xml:space="preserve">, cena </w:t>
      </w:r>
      <w:proofErr w:type="spellStart"/>
      <w:r>
        <w:rPr>
          <w:rFonts w:ascii="Arial" w:eastAsia="Arial" w:hAnsi="Arial"/>
          <w:b/>
          <w:color w:val="FF0000"/>
          <w:sz w:val="32"/>
          <w:szCs w:val="32"/>
        </w:rPr>
        <w:t>Doctorandus</w:t>
      </w:r>
      <w:proofErr w:type="spellEnd"/>
      <w:r>
        <w:rPr>
          <w:rFonts w:ascii="Arial" w:eastAsia="Arial" w:hAnsi="Arial"/>
          <w:b/>
          <w:color w:val="FF0000"/>
          <w:sz w:val="32"/>
          <w:szCs w:val="32"/>
        </w:rPr>
        <w:t xml:space="preserve"> za technické vědy</w:t>
      </w:r>
    </w:p>
    <w:p w:rsidR="00681034" w:rsidRDefault="00681034">
      <w:pPr>
        <w:spacing w:line="230" w:lineRule="exact"/>
        <w:rPr>
          <w:rFonts w:ascii="Arial" w:eastAsia="Times New Roman" w:hAnsi="Arial" w:cs="Times New Roman"/>
          <w:b/>
          <w:color w:val="E30613"/>
          <w:sz w:val="34"/>
        </w:rPr>
      </w:pPr>
    </w:p>
    <w:p w:rsidR="00681034" w:rsidRDefault="009250C7">
      <w:pPr>
        <w:spacing w:line="264" w:lineRule="auto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Cena se uděluje za inovativní </w:t>
      </w:r>
      <w:r>
        <w:rPr>
          <w:rFonts w:ascii="Arial" w:eastAsia="Arial" w:hAnsi="Arial"/>
          <w:b/>
          <w:sz w:val="20"/>
          <w:szCs w:val="20"/>
        </w:rPr>
        <w:t>přístup, nejvýraznější počin, odbornou nebo vědeckou činnost studenta doktorského studijního programu, především v oblasti inženýrství, biotechnologie, systémového inženýrství a kybernetiky s přihlédnutím k perspektivám jeho využitelnosti v praxi.</w:t>
      </w:r>
    </w:p>
    <w:p w:rsidR="00681034" w:rsidRDefault="009250C7">
      <w:pPr>
        <w:pStyle w:val="Normlnweb"/>
        <w:jc w:val="both"/>
      </w:pPr>
      <w:r>
        <w:rPr>
          <w:rFonts w:ascii="Arial" w:eastAsia="Arial" w:hAnsi="Arial" w:cs="Arial"/>
          <w:b/>
          <w:color w:val="E30613"/>
          <w:sz w:val="28"/>
          <w:szCs w:val="28"/>
        </w:rPr>
        <w:t>Laureát:</w:t>
      </w:r>
      <w:r>
        <w:rPr>
          <w:rFonts w:ascii="Arial" w:eastAsia="Arial" w:hAnsi="Arial" w:cs="Arial"/>
          <w:b/>
          <w:color w:val="E30613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lang w:val="en-US"/>
        </w:rPr>
        <w:t>Mgr.</w:t>
      </w:r>
      <w:r>
        <w:rPr>
          <w:rFonts w:ascii="Arial" w:eastAsia="Arial" w:hAnsi="Arial" w:cs="Arial"/>
          <w:b/>
          <w:color w:val="E30613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Sezemský</w:t>
      </w:r>
      <w:proofErr w:type="spellEnd"/>
      <w:r>
        <w:rPr>
          <w:rFonts w:ascii="Arial" w:hAnsi="Arial" w:cs="Arial"/>
          <w:sz w:val="28"/>
          <w:szCs w:val="28"/>
          <w:lang w:val="en-US"/>
        </w:rPr>
        <w:t>, Ph.D.</w:t>
      </w:r>
    </w:p>
    <w:p w:rsidR="00681034" w:rsidRDefault="009250C7">
      <w:pPr>
        <w:pStyle w:val="Normlnweb"/>
        <w:jc w:val="both"/>
      </w:pPr>
      <w:r>
        <w:rPr>
          <w:rFonts w:ascii="Arial" w:hAnsi="Arial" w:cs="Arial"/>
          <w:b/>
          <w:sz w:val="20"/>
          <w:szCs w:val="20"/>
        </w:rPr>
        <w:t xml:space="preserve">Vývoj bioaktivních </w:t>
      </w:r>
      <w:proofErr w:type="spellStart"/>
      <w:r>
        <w:rPr>
          <w:rFonts w:ascii="Arial" w:hAnsi="Arial" w:cs="Arial"/>
          <w:b/>
          <w:sz w:val="20"/>
          <w:szCs w:val="20"/>
        </w:rPr>
        <w:t>nanostrukturovaných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povrchů vytvořených pomocí nízkoteplotního plazmatu.</w:t>
      </w:r>
    </w:p>
    <w:p w:rsidR="00681034" w:rsidRDefault="009250C7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Tématem práce laureáta je vývoj bioaktivních </w:t>
      </w:r>
      <w:proofErr w:type="spellStart"/>
      <w:r>
        <w:rPr>
          <w:rFonts w:ascii="Arial" w:hAnsi="Arial" w:cs="Arial"/>
          <w:sz w:val="20"/>
          <w:szCs w:val="20"/>
        </w:rPr>
        <w:t>nanostrukturovaných</w:t>
      </w:r>
      <w:proofErr w:type="spellEnd"/>
      <w:r>
        <w:rPr>
          <w:rFonts w:ascii="Arial" w:hAnsi="Arial" w:cs="Arial"/>
          <w:sz w:val="20"/>
          <w:szCs w:val="20"/>
        </w:rPr>
        <w:t xml:space="preserve"> povrchů vytvořených pomocí nízkoteplotního plazmatu. Petr Sezemský se vě</w:t>
      </w:r>
      <w:r>
        <w:rPr>
          <w:rFonts w:ascii="Arial" w:hAnsi="Arial" w:cs="Arial"/>
          <w:sz w:val="20"/>
          <w:szCs w:val="20"/>
        </w:rPr>
        <w:t xml:space="preserve">noval vývoji senzorických </w:t>
      </w:r>
      <w:proofErr w:type="spellStart"/>
      <w:r>
        <w:rPr>
          <w:rFonts w:ascii="Arial" w:hAnsi="Arial" w:cs="Arial"/>
          <w:sz w:val="20"/>
          <w:szCs w:val="20"/>
        </w:rPr>
        <w:t>nanostruktur</w:t>
      </w:r>
      <w:proofErr w:type="spellEnd"/>
      <w:r>
        <w:rPr>
          <w:rFonts w:ascii="Arial" w:hAnsi="Arial" w:cs="Arial"/>
          <w:sz w:val="20"/>
          <w:szCs w:val="20"/>
        </w:rPr>
        <w:t xml:space="preserve"> na optickém vlákně, které pokryl tenkou, opticky transparentní a elektricky vodivou vrstvou z oxidu inditého dopovaného cínem (ITO). Tímto způsobem vytvořil senzorickou strukturu, která poskytuje možnost simultánní </w:t>
      </w:r>
      <w:proofErr w:type="spellStart"/>
      <w:r>
        <w:rPr>
          <w:rFonts w:ascii="Arial" w:hAnsi="Arial" w:cs="Arial"/>
          <w:sz w:val="20"/>
          <w:szCs w:val="20"/>
        </w:rPr>
        <w:t>ví</w:t>
      </w:r>
      <w:r>
        <w:rPr>
          <w:rFonts w:ascii="Arial" w:hAnsi="Arial" w:cs="Arial"/>
          <w:sz w:val="20"/>
          <w:szCs w:val="20"/>
        </w:rPr>
        <w:t>ce-doménové</w:t>
      </w:r>
      <w:proofErr w:type="spellEnd"/>
      <w:r>
        <w:rPr>
          <w:rFonts w:ascii="Arial" w:hAnsi="Arial" w:cs="Arial"/>
          <w:sz w:val="20"/>
          <w:szCs w:val="20"/>
        </w:rPr>
        <w:t xml:space="preserve"> detekce, a to optickou a elektrochemickou cestou. V úzké spolupráci s místními i zahraničními odborníky potvrdil správnost vyvinutého konceptu úspěšnou detekcí mimo jiné i patogenů boreliózy. Vyvinutý koncept detekce má potenciál najít uplatněn</w:t>
      </w:r>
      <w:r>
        <w:rPr>
          <w:rFonts w:ascii="Arial" w:hAnsi="Arial" w:cs="Arial"/>
          <w:sz w:val="20"/>
          <w:szCs w:val="20"/>
        </w:rPr>
        <w:t>í nejen v medicíně, ale také v analytické chemii a dalších vědních oborech.</w:t>
      </w:r>
    </w:p>
    <w:p w:rsidR="00681034" w:rsidRDefault="009250C7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Důležitým rysem vyvinutého senzoru je skutečnost, že receptorové molekuly navázané k </w:t>
      </w:r>
      <w:proofErr w:type="gramStart"/>
      <w:r>
        <w:rPr>
          <w:rFonts w:ascii="Arial" w:hAnsi="Arial" w:cs="Arial"/>
          <w:sz w:val="20"/>
          <w:szCs w:val="20"/>
        </w:rPr>
        <w:t>ITO</w:t>
      </w:r>
      <w:proofErr w:type="gramEnd"/>
      <w:r>
        <w:rPr>
          <w:rFonts w:ascii="Arial" w:hAnsi="Arial" w:cs="Arial"/>
          <w:sz w:val="20"/>
          <w:szCs w:val="20"/>
        </w:rPr>
        <w:t xml:space="preserve"> povrchu, které jsou zodpovědné za selektivitu detekce, interagují přímo s vyšetřovaným anal</w:t>
      </w:r>
      <w:r>
        <w:rPr>
          <w:rFonts w:ascii="Arial" w:hAnsi="Arial" w:cs="Arial"/>
          <w:sz w:val="20"/>
          <w:szCs w:val="20"/>
        </w:rPr>
        <w:t>ytem bez potřeby jejich předchozího značení, jedná se tedy o tzv. label-free detekci. Za podstatnou výhodu vyvinuté senzorické struktury lze považovat koncept simultánní duální detekce, což poskytuje možnost potvrzení výsledků získaných dvěma nezávislými m</w:t>
      </w:r>
      <w:r>
        <w:rPr>
          <w:rFonts w:ascii="Arial" w:hAnsi="Arial" w:cs="Arial"/>
          <w:sz w:val="20"/>
          <w:szCs w:val="20"/>
        </w:rPr>
        <w:t>etodami: opticky a elektrochemicky. Za další výhodu lze považovat, že senzor umožňuje podrobnější zkoumání jeho bezprostředního okolí a získání lepší představy o dějích probíhajících na jeho povrchu. V neposlední řadě je výhodou jednoduchost postupu měření</w:t>
      </w:r>
      <w:r>
        <w:rPr>
          <w:rFonts w:ascii="Arial" w:hAnsi="Arial" w:cs="Arial"/>
          <w:sz w:val="20"/>
          <w:szCs w:val="20"/>
        </w:rPr>
        <w:t xml:space="preserve">, jeho rychlost a také relativně nízká cena použitých materiálů, která by se mohla v budoucnu projevit nízkými náklady jeho případné výroby. </w:t>
      </w:r>
    </w:p>
    <w:p w:rsidR="00681034" w:rsidRDefault="009250C7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</w:t>
      </w:r>
      <w:proofErr w:type="spellStart"/>
      <w:r>
        <w:rPr>
          <w:rFonts w:ascii="Arial" w:hAnsi="Arial" w:cs="Arial"/>
          <w:sz w:val="20"/>
          <w:szCs w:val="20"/>
        </w:rPr>
        <w:t>nanostruktur</w:t>
      </w:r>
      <w:proofErr w:type="spellEnd"/>
      <w:r>
        <w:rPr>
          <w:rFonts w:ascii="Arial" w:hAnsi="Arial" w:cs="Arial"/>
          <w:sz w:val="20"/>
          <w:szCs w:val="20"/>
        </w:rPr>
        <w:t xml:space="preserve">, které </w:t>
      </w:r>
      <w:proofErr w:type="gramStart"/>
      <w:r>
        <w:rPr>
          <w:rFonts w:ascii="Arial" w:hAnsi="Arial" w:cs="Arial"/>
          <w:sz w:val="20"/>
          <w:szCs w:val="20"/>
        </w:rPr>
        <w:t>umožňují</w:t>
      </w:r>
      <w:proofErr w:type="gramEnd"/>
      <w:r>
        <w:rPr>
          <w:rFonts w:ascii="Arial" w:hAnsi="Arial" w:cs="Arial"/>
          <w:sz w:val="20"/>
          <w:szCs w:val="20"/>
        </w:rPr>
        <w:t xml:space="preserve"> duální-detekci </w:t>
      </w:r>
      <w:proofErr w:type="gramStart"/>
      <w:r>
        <w:rPr>
          <w:rFonts w:ascii="Arial" w:hAnsi="Arial" w:cs="Arial"/>
          <w:sz w:val="20"/>
          <w:szCs w:val="20"/>
        </w:rPr>
        <w:t>má</w:t>
      </w:r>
      <w:proofErr w:type="gramEnd"/>
      <w:r>
        <w:rPr>
          <w:rFonts w:ascii="Arial" w:hAnsi="Arial" w:cs="Arial"/>
          <w:sz w:val="20"/>
          <w:szCs w:val="20"/>
        </w:rPr>
        <w:t xml:space="preserve"> velký uživatelský potenciál; při použití vhodného receptoru, </w:t>
      </w:r>
      <w:r>
        <w:rPr>
          <w:rFonts w:ascii="Arial" w:hAnsi="Arial" w:cs="Arial"/>
          <w:sz w:val="20"/>
          <w:szCs w:val="20"/>
        </w:rPr>
        <w:t>například specificky interagující protilátky, je možné využít senzor k detekci např. proteinů, hormonů, léčiv i mikroorganismů. Petr Sezemský v současnosti pracuje na těchto tématech a snaží se o další výzkum a vývoj v této oblasti, a to ve spolupráci s ně</w:t>
      </w:r>
      <w:r>
        <w:rPr>
          <w:rFonts w:ascii="Arial" w:hAnsi="Arial" w:cs="Arial"/>
          <w:sz w:val="20"/>
          <w:szCs w:val="20"/>
        </w:rPr>
        <w:t xml:space="preserve">kolika českými i zahraničními pracovišti. Mimo to se intenzivně věnuje dalšímu výzkumu přípravy nových funkčních povlaků, které jsou určeny pro širší spektrum průmyslových aplikací, například, ochranné povlaky, </w:t>
      </w:r>
      <w:proofErr w:type="spellStart"/>
      <w:r>
        <w:rPr>
          <w:rFonts w:ascii="Arial" w:hAnsi="Arial" w:cs="Arial"/>
          <w:sz w:val="20"/>
          <w:szCs w:val="20"/>
        </w:rPr>
        <w:t>nanostrukturované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biofunkční</w:t>
      </w:r>
      <w:proofErr w:type="spellEnd"/>
      <w:r>
        <w:rPr>
          <w:rFonts w:ascii="Arial" w:hAnsi="Arial" w:cs="Arial"/>
          <w:sz w:val="20"/>
          <w:szCs w:val="20"/>
        </w:rPr>
        <w:t xml:space="preserve"> povrchy, fotoakt</w:t>
      </w:r>
      <w:r>
        <w:rPr>
          <w:rFonts w:ascii="Arial" w:hAnsi="Arial" w:cs="Arial"/>
          <w:sz w:val="20"/>
          <w:szCs w:val="20"/>
        </w:rPr>
        <w:t>ivní vrstvy a další.</w:t>
      </w: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681034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</w:p>
    <w:p w:rsidR="00681034" w:rsidRDefault="009250C7">
      <w:pPr>
        <w:jc w:val="center"/>
        <w:rPr>
          <w:rFonts w:ascii="Arial" w:eastAsia="Arial" w:hAnsi="Arial"/>
          <w:b/>
          <w:color w:val="E30613"/>
          <w:sz w:val="32"/>
          <w:szCs w:val="32"/>
        </w:rPr>
      </w:pPr>
      <w:r>
        <w:rPr>
          <w:rFonts w:ascii="Arial" w:eastAsia="Arial" w:hAnsi="Arial"/>
          <w:b/>
          <w:color w:val="E30613"/>
          <w:sz w:val="32"/>
          <w:szCs w:val="32"/>
        </w:rPr>
        <w:lastRenderedPageBreak/>
        <w:t xml:space="preserve">Cena společnosti </w:t>
      </w:r>
      <w:proofErr w:type="spellStart"/>
      <w:r>
        <w:rPr>
          <w:rFonts w:ascii="Arial" w:eastAsia="Arial" w:hAnsi="Arial"/>
          <w:b/>
          <w:color w:val="E30613"/>
          <w:sz w:val="32"/>
          <w:szCs w:val="32"/>
        </w:rPr>
        <w:t>Veolia</w:t>
      </w:r>
      <w:proofErr w:type="spellEnd"/>
      <w:r>
        <w:rPr>
          <w:rFonts w:ascii="Arial" w:eastAsia="Arial" w:hAnsi="Arial"/>
          <w:b/>
          <w:color w:val="E30613"/>
          <w:sz w:val="32"/>
          <w:szCs w:val="32"/>
        </w:rPr>
        <w:t xml:space="preserve">, cena </w:t>
      </w:r>
      <w:proofErr w:type="spellStart"/>
      <w:r>
        <w:rPr>
          <w:rFonts w:ascii="Arial" w:eastAsia="Arial" w:hAnsi="Arial"/>
          <w:b/>
          <w:color w:val="E30613"/>
          <w:sz w:val="32"/>
          <w:szCs w:val="32"/>
        </w:rPr>
        <w:t>Doctorandus</w:t>
      </w:r>
      <w:proofErr w:type="spellEnd"/>
      <w:r>
        <w:rPr>
          <w:rFonts w:ascii="Arial" w:eastAsia="Arial" w:hAnsi="Arial"/>
          <w:b/>
          <w:color w:val="E30613"/>
          <w:sz w:val="32"/>
          <w:szCs w:val="32"/>
        </w:rPr>
        <w:t xml:space="preserve"> za přírodní vědy</w:t>
      </w:r>
    </w:p>
    <w:p w:rsidR="00681034" w:rsidRDefault="00681034">
      <w:pPr>
        <w:spacing w:line="230" w:lineRule="exact"/>
        <w:rPr>
          <w:rFonts w:ascii="Arial" w:eastAsia="Times New Roman" w:hAnsi="Arial" w:cs="Times New Roman"/>
          <w:b/>
          <w:color w:val="E30613"/>
          <w:sz w:val="34"/>
        </w:rPr>
      </w:pPr>
    </w:p>
    <w:p w:rsidR="00681034" w:rsidRDefault="009250C7">
      <w:pPr>
        <w:spacing w:line="288" w:lineRule="auto"/>
        <w:jc w:val="both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Cena se uděluje za inovativní přístup, nejvýraznější počin, odbornou nebo vědeckou činnost studenta doktorského studijního programu, obzvláště pak v matematice, </w:t>
      </w:r>
      <w:r>
        <w:rPr>
          <w:rFonts w:ascii="Arial" w:eastAsia="Arial" w:hAnsi="Arial"/>
          <w:b/>
          <w:sz w:val="20"/>
          <w:szCs w:val="20"/>
        </w:rPr>
        <w:t>fyzice, chemii, biologii a medicíně.</w:t>
      </w:r>
    </w:p>
    <w:p w:rsidR="00681034" w:rsidRDefault="009250C7">
      <w:pPr>
        <w:pStyle w:val="Normlnweb"/>
        <w:jc w:val="both"/>
      </w:pPr>
      <w:r>
        <w:rPr>
          <w:rFonts w:ascii="Arial" w:eastAsia="Arial" w:hAnsi="Arial" w:cs="Arial"/>
          <w:b/>
          <w:color w:val="E30613"/>
          <w:sz w:val="28"/>
          <w:szCs w:val="28"/>
        </w:rPr>
        <w:t xml:space="preserve">Laureát: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Ing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Alžběta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Dostálková</w:t>
      </w:r>
      <w:proofErr w:type="spellEnd"/>
      <w:r>
        <w:rPr>
          <w:rFonts w:ascii="Arial" w:hAnsi="Arial" w:cs="Arial"/>
          <w:sz w:val="28"/>
          <w:szCs w:val="28"/>
          <w:lang w:val="en-US"/>
        </w:rPr>
        <w:t>, Ph.D.</w:t>
      </w:r>
    </w:p>
    <w:p w:rsidR="00681034" w:rsidRDefault="009250C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Studium interakcí vedoucích ke skládání retrovirových částic – nástroj pro inhibici jejich tvorby </w:t>
      </w:r>
    </w:p>
    <w:p w:rsidR="00681034" w:rsidRDefault="00681034">
      <w:pPr>
        <w:jc w:val="both"/>
        <w:rPr>
          <w:rFonts w:hint="eastAsia"/>
          <w:sz w:val="23"/>
          <w:szCs w:val="23"/>
        </w:rPr>
      </w:pP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svého doktorského studia se Alžběta </w:t>
      </w:r>
      <w:proofErr w:type="gramStart"/>
      <w:r>
        <w:rPr>
          <w:rFonts w:ascii="Arial" w:hAnsi="Arial" w:cs="Arial"/>
          <w:sz w:val="20"/>
          <w:szCs w:val="20"/>
        </w:rPr>
        <w:t>Dostálková  věnovala</w:t>
      </w:r>
      <w:proofErr w:type="gramEnd"/>
      <w:r>
        <w:rPr>
          <w:rFonts w:ascii="Arial" w:hAnsi="Arial" w:cs="Arial"/>
          <w:sz w:val="20"/>
          <w:szCs w:val="20"/>
        </w:rPr>
        <w:t xml:space="preserve"> studiu kritick</w:t>
      </w:r>
      <w:r>
        <w:rPr>
          <w:rFonts w:ascii="Arial" w:hAnsi="Arial" w:cs="Arial"/>
          <w:sz w:val="20"/>
          <w:szCs w:val="20"/>
        </w:rPr>
        <w:t>ých kroků replikačního cyklu obalených RNA virů. Přesto, že společným smyslem existence virů je se kopírovat za využití svých hostitelů, liší se jednotlivé viry svou strukturou, typem hostitele, genetickou informací a dalšími faktory, které určují a odlišu</w:t>
      </w:r>
      <w:r>
        <w:rPr>
          <w:rFonts w:ascii="Arial" w:hAnsi="Arial" w:cs="Arial"/>
          <w:sz w:val="20"/>
          <w:szCs w:val="20"/>
        </w:rPr>
        <w:t xml:space="preserve">jí jejich životní cykly, tedy způsob jejich kopírování. Při hledání nových léčiv, tedy </w:t>
      </w:r>
      <w:proofErr w:type="spellStart"/>
      <w:r>
        <w:rPr>
          <w:rFonts w:ascii="Arial" w:hAnsi="Arial" w:cs="Arial"/>
          <w:sz w:val="20"/>
          <w:szCs w:val="20"/>
        </w:rPr>
        <w:t>antivirotik</w:t>
      </w:r>
      <w:proofErr w:type="spellEnd"/>
      <w:r>
        <w:rPr>
          <w:rFonts w:ascii="Arial" w:hAnsi="Arial" w:cs="Arial"/>
          <w:sz w:val="20"/>
          <w:szCs w:val="20"/>
        </w:rPr>
        <w:t xml:space="preserve">, je nezbytné znát jednotlivé kroky životních cyklů virů, abychom byli schopni navrhnout potenciálně aktivní látky, definovali jejich působení a tím i účinek </w:t>
      </w:r>
      <w:r>
        <w:rPr>
          <w:rFonts w:ascii="Arial" w:hAnsi="Arial" w:cs="Arial"/>
          <w:sz w:val="20"/>
          <w:szCs w:val="20"/>
        </w:rPr>
        <w:t xml:space="preserve">na konkrétní virus. </w:t>
      </w:r>
    </w:p>
    <w:p w:rsidR="00681034" w:rsidRDefault="00681034">
      <w:pPr>
        <w:jc w:val="both"/>
        <w:rPr>
          <w:rFonts w:ascii="Arial" w:hAnsi="Arial" w:cs="Arial"/>
          <w:sz w:val="20"/>
          <w:szCs w:val="20"/>
        </w:rPr>
      </w:pP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Alžběta Dostálková se soustředila především na retroviry, jejichž nejznámějším zástupcem je virus HIV-1, způsobující onemocnění AIDS. V současné době je na světě přibližně 40 milionů lidí infikovaných virem HIV-1. Retroviry mají schop</w:t>
      </w:r>
      <w:r>
        <w:rPr>
          <w:rFonts w:ascii="Arial" w:hAnsi="Arial" w:cs="Arial"/>
          <w:sz w:val="20"/>
          <w:szCs w:val="20"/>
        </w:rPr>
        <w:t xml:space="preserve">nost setrvávat v lidském genomu a ve vhodné chvíli se aktivovat, což značně komplikuje jejich nalezení, protože HIV je zjistitelný tehdy, pokud se aktivně </w:t>
      </w:r>
      <w:proofErr w:type="gramStart"/>
      <w:r>
        <w:rPr>
          <w:rFonts w:ascii="Arial" w:hAnsi="Arial" w:cs="Arial"/>
          <w:sz w:val="20"/>
          <w:szCs w:val="20"/>
        </w:rPr>
        <w:t>kopíruje, nebo</w:t>
      </w:r>
      <w:proofErr w:type="gramEnd"/>
      <w:r>
        <w:rPr>
          <w:rFonts w:ascii="Arial" w:hAnsi="Arial" w:cs="Arial"/>
          <w:sz w:val="20"/>
          <w:szCs w:val="20"/>
        </w:rPr>
        <w:t>-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množí. Přesto, že lék schopný eliminovat virus z infikovaného jedince zatím neexist</w:t>
      </w:r>
      <w:r>
        <w:rPr>
          <w:rFonts w:ascii="Arial" w:hAnsi="Arial" w:cs="Arial"/>
          <w:sz w:val="20"/>
          <w:szCs w:val="20"/>
        </w:rPr>
        <w:t xml:space="preserve">uje, mimo jiné také kvůli ohromné mutační rychlosti viru, je k dispozici vysoce účinná </w:t>
      </w:r>
      <w:proofErr w:type="spellStart"/>
      <w:r>
        <w:rPr>
          <w:rFonts w:ascii="Arial" w:hAnsi="Arial" w:cs="Arial"/>
          <w:sz w:val="20"/>
          <w:szCs w:val="20"/>
        </w:rPr>
        <w:t>antiretrovirová</w:t>
      </w:r>
      <w:proofErr w:type="spellEnd"/>
      <w:r>
        <w:rPr>
          <w:rFonts w:ascii="Arial" w:hAnsi="Arial" w:cs="Arial"/>
          <w:sz w:val="20"/>
          <w:szCs w:val="20"/>
        </w:rPr>
        <w:t xml:space="preserve"> terapie. Tato terapie cílí na různé kroky životního cyklu retroviru a díky tomu umí zastavit množení viru. Pokud tedy dojde k mutacím vedoucím k rezisten</w:t>
      </w:r>
      <w:r>
        <w:rPr>
          <w:rFonts w:ascii="Arial" w:hAnsi="Arial" w:cs="Arial"/>
          <w:sz w:val="20"/>
          <w:szCs w:val="20"/>
        </w:rPr>
        <w:t xml:space="preserve">ci vůči jednomu typu léku, další typ množení stále blokuje. I přesto, že v případě HIV-1 je schválena celá řada </w:t>
      </w:r>
      <w:proofErr w:type="spellStart"/>
      <w:r>
        <w:rPr>
          <w:rFonts w:ascii="Arial" w:hAnsi="Arial" w:cs="Arial"/>
          <w:sz w:val="20"/>
          <w:szCs w:val="20"/>
        </w:rPr>
        <w:t>antivirotik</w:t>
      </w:r>
      <w:proofErr w:type="spellEnd"/>
      <w:r>
        <w:rPr>
          <w:rFonts w:ascii="Arial" w:hAnsi="Arial" w:cs="Arial"/>
          <w:sz w:val="20"/>
          <w:szCs w:val="20"/>
        </w:rPr>
        <w:t xml:space="preserve">, je s ohledem na vznik rezistencí neustálá snaha hledat nové cíle pro </w:t>
      </w:r>
      <w:proofErr w:type="spellStart"/>
      <w:r>
        <w:rPr>
          <w:rFonts w:ascii="Arial" w:hAnsi="Arial" w:cs="Arial"/>
          <w:sz w:val="20"/>
          <w:szCs w:val="20"/>
        </w:rPr>
        <w:t>antiretrovirovou</w:t>
      </w:r>
      <w:proofErr w:type="spellEnd"/>
      <w:r>
        <w:rPr>
          <w:rFonts w:ascii="Arial" w:hAnsi="Arial" w:cs="Arial"/>
          <w:sz w:val="20"/>
          <w:szCs w:val="20"/>
        </w:rPr>
        <w:t xml:space="preserve"> terapii. Jedním z těchto cílů je právě skládá</w:t>
      </w:r>
      <w:r>
        <w:rPr>
          <w:rFonts w:ascii="Arial" w:hAnsi="Arial" w:cs="Arial"/>
          <w:sz w:val="20"/>
          <w:szCs w:val="20"/>
        </w:rPr>
        <w:t xml:space="preserve">ní retrovirových částic a stabilita vnitřní proteinové schránky chránící genetickou informaci. </w:t>
      </w:r>
    </w:p>
    <w:p w:rsidR="00681034" w:rsidRDefault="00681034">
      <w:pPr>
        <w:jc w:val="both"/>
        <w:rPr>
          <w:rFonts w:ascii="Arial" w:hAnsi="Arial" w:cs="Arial"/>
          <w:sz w:val="20"/>
          <w:szCs w:val="20"/>
        </w:rPr>
      </w:pP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Přesto, že skládání retrovirových částic je předmětem intenzivních studií, stále není mechanismus tohoto složitého procesu úplně znám. Alžbětě Dostálkové se po</w:t>
      </w:r>
      <w:r>
        <w:rPr>
          <w:rFonts w:ascii="Arial" w:hAnsi="Arial" w:cs="Arial"/>
          <w:sz w:val="20"/>
          <w:szCs w:val="20"/>
        </w:rPr>
        <w:t>dařilo přispět k objasnění tohoto procesu hned ve dvou fázích. V počáteční fázi skládání, kdy si retrovirus vybírá svou RNA (nositelku genetické informace retroviru), je zapotřebí určitých specifických signálů, na jejichž základě je retrovirus schopen rozp</w:t>
      </w:r>
      <w:r>
        <w:rPr>
          <w:rFonts w:ascii="Arial" w:hAnsi="Arial" w:cs="Arial"/>
          <w:sz w:val="20"/>
          <w:szCs w:val="20"/>
        </w:rPr>
        <w:t>oznat svou RNA mezi mnoha hostitelskými RNA. Alžběta Dostálková však spolu se svým týmem zjistila, že zdánlivě nespecifická oblast v retrovirovém proteinu významně ovlivňuje právě ono rozpoznání této specifické virové RNA a jakékoliv narušení v této oblast</w:t>
      </w:r>
      <w:r>
        <w:rPr>
          <w:rFonts w:ascii="Arial" w:hAnsi="Arial" w:cs="Arial"/>
          <w:sz w:val="20"/>
          <w:szCs w:val="20"/>
        </w:rPr>
        <w:t>i vede ke snížení nebo dokonce zablokování schopnosti retroviru infikovat další buňky a virus Tedy zastavit. Druhá fáze, kterou Alžběta Dostálková studovala, byla samotné skládání proteinů, strukturních prvků, do podoby retrovirové částice. V tomto případě</w:t>
      </w:r>
      <w:r>
        <w:rPr>
          <w:rFonts w:ascii="Arial" w:hAnsi="Arial" w:cs="Arial"/>
          <w:sz w:val="20"/>
          <w:szCs w:val="20"/>
        </w:rPr>
        <w:t xml:space="preserve"> zjistila, že kromě HIV-1, i jiné retroviry z různých rodů s podobným uspořádáním potřebují malou molekulu, která upevní vznikající síť vytvářenou retrovirovými proteiny. Právě tato malá molekula by pro svůj potenciál mohla být cílem pro antivirovou terapi</w:t>
      </w:r>
      <w:r>
        <w:rPr>
          <w:rFonts w:ascii="Arial" w:hAnsi="Arial" w:cs="Arial"/>
          <w:sz w:val="20"/>
          <w:szCs w:val="20"/>
        </w:rPr>
        <w:t>i.</w:t>
      </w: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Kromě samotného studia mechanismů zavedla (metoda DITH) a upravila (metoda FAITH) metody pro určení míry účinku látek, které ovlivňují stabilitu vnitřní struktury retrovirové částice nebo se účastní samotného skládání. Tyto metody umožňují rychle a ef</w:t>
      </w:r>
      <w:r>
        <w:rPr>
          <w:rFonts w:ascii="Arial" w:hAnsi="Arial" w:cs="Arial"/>
          <w:sz w:val="20"/>
          <w:szCs w:val="20"/>
        </w:rPr>
        <w:t xml:space="preserve">ektivně otestovat velké množství látek působící na zmíněné kroky a tudíž najít potenciálně nová </w:t>
      </w:r>
      <w:proofErr w:type="spellStart"/>
      <w:r>
        <w:rPr>
          <w:rFonts w:ascii="Arial" w:hAnsi="Arial" w:cs="Arial"/>
          <w:sz w:val="20"/>
          <w:szCs w:val="20"/>
        </w:rPr>
        <w:t>antivirotika</w:t>
      </w:r>
      <w:proofErr w:type="spellEnd"/>
      <w:r>
        <w:rPr>
          <w:rFonts w:ascii="Arial" w:hAnsi="Arial" w:cs="Arial"/>
          <w:sz w:val="20"/>
          <w:szCs w:val="20"/>
        </w:rPr>
        <w:t>. Tyto metody jsou vhodné pro počáteční otestování účinku. Následně je nezbytné látky otestovat v buněčných systémech.</w:t>
      </w:r>
    </w:p>
    <w:p w:rsidR="00681034" w:rsidRDefault="00681034">
      <w:pPr>
        <w:jc w:val="both"/>
        <w:rPr>
          <w:rFonts w:ascii="Arial" w:hAnsi="Arial" w:cs="Arial"/>
          <w:sz w:val="20"/>
          <w:szCs w:val="20"/>
        </w:rPr>
      </w:pPr>
    </w:p>
    <w:p w:rsidR="00681034" w:rsidRDefault="009250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Nejen pomocí zmíněných metod</w:t>
      </w:r>
      <w:r>
        <w:rPr>
          <w:rFonts w:ascii="Arial" w:hAnsi="Arial" w:cs="Arial"/>
          <w:sz w:val="20"/>
          <w:szCs w:val="20"/>
        </w:rPr>
        <w:t xml:space="preserve"> objasnila a publikovala ve spolupráci s kolegy z jiných ústavů a institucí mechanismy různých látek cílících jak na zmíněnou počáteční fázi skládání, tedy rozpoznání a vbalení své retrovirové RNA, tak na stabilitu vnitřní proteinové schránky retrovirové č</w:t>
      </w:r>
      <w:r>
        <w:rPr>
          <w:rFonts w:ascii="Arial" w:hAnsi="Arial" w:cs="Arial"/>
          <w:sz w:val="20"/>
          <w:szCs w:val="20"/>
        </w:rPr>
        <w:t xml:space="preserve">ástice. Tyto látky významně snižovaly schopnost viru napadat další buňky. Přesto, že je nezbytné dále látky upravovat a studovat, jeví se jejich struktura jako potenciální pro návrh nových </w:t>
      </w:r>
      <w:proofErr w:type="spellStart"/>
      <w:r>
        <w:rPr>
          <w:rFonts w:ascii="Arial" w:hAnsi="Arial" w:cs="Arial"/>
          <w:sz w:val="20"/>
          <w:szCs w:val="20"/>
        </w:rPr>
        <w:t>antivirotik</w:t>
      </w:r>
      <w:proofErr w:type="spellEnd"/>
      <w:r>
        <w:rPr>
          <w:rFonts w:ascii="Arial" w:hAnsi="Arial" w:cs="Arial"/>
          <w:sz w:val="20"/>
          <w:szCs w:val="20"/>
        </w:rPr>
        <w:t>, které by pomohli v boji nejen proti HIV-1.</w:t>
      </w:r>
    </w:p>
    <w:p w:rsidR="00681034" w:rsidRDefault="00681034">
      <w:pPr>
        <w:jc w:val="both"/>
        <w:rPr>
          <w:rFonts w:ascii="Arial" w:hAnsi="Arial" w:cs="Arial"/>
          <w:color w:val="C9211E"/>
        </w:rPr>
      </w:pPr>
    </w:p>
    <w:p w:rsidR="00681034" w:rsidRDefault="009250C7">
      <w:pPr>
        <w:rPr>
          <w:rFonts w:hint="eastAsia"/>
        </w:rPr>
      </w:pPr>
      <w:r>
        <w:rPr>
          <w:noProof/>
          <w:lang w:eastAsia="cs-CZ" w:bidi="ar-SA"/>
        </w:rPr>
        <w:drawing>
          <wp:inline distT="0" distB="0" distL="0" distR="0">
            <wp:extent cx="6120130" cy="582295"/>
            <wp:effectExtent l="0" t="0" r="0" b="0"/>
            <wp:docPr id="1" name="Obrázek 1" descr="vstupenka vol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stupenka volná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03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48A"/>
    <w:multiLevelType w:val="multilevel"/>
    <w:tmpl w:val="0E9259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2C265D"/>
    <w:multiLevelType w:val="multilevel"/>
    <w:tmpl w:val="EFE2588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1034"/>
    <w:rsid w:val="00681034"/>
    <w:rsid w:val="0092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628"/>
    <w:pPr>
      <w:suppressAutoHyphens/>
      <w:textAlignment w:val="baseline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6">
    <w:name w:val="WW8Num1z6"/>
    <w:qFormat/>
    <w:rsid w:val="00F51628"/>
  </w:style>
  <w:style w:type="character" w:customStyle="1" w:styleId="TextbublinyChar">
    <w:name w:val="Text bubliny Char"/>
    <w:basedOn w:val="Standardnpsmoodstavce"/>
    <w:qFormat/>
    <w:rsid w:val="00F51628"/>
    <w:rPr>
      <w:rFonts w:ascii="Tahoma" w:hAnsi="Tahoma" w:cs="Mangal"/>
      <w:sz w:val="16"/>
      <w:szCs w:val="14"/>
    </w:rPr>
  </w:style>
  <w:style w:type="paragraph" w:customStyle="1" w:styleId="Nadpis">
    <w:name w:val="Nadpis"/>
    <w:basedOn w:val="Standard"/>
    <w:next w:val="Textbody"/>
    <w:qFormat/>
    <w:rsid w:val="00F5162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sid w:val="00F51628"/>
  </w:style>
  <w:style w:type="paragraph" w:styleId="Titulek">
    <w:name w:val="caption"/>
    <w:basedOn w:val="Standard"/>
    <w:qFormat/>
    <w:rsid w:val="00F51628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rsid w:val="00F51628"/>
    <w:pPr>
      <w:suppressLineNumbers/>
    </w:pPr>
  </w:style>
  <w:style w:type="paragraph" w:customStyle="1" w:styleId="Standard">
    <w:name w:val="Standard"/>
    <w:qFormat/>
    <w:rsid w:val="00F51628"/>
    <w:pPr>
      <w:suppressAutoHyphens/>
      <w:textAlignment w:val="baseline"/>
    </w:pPr>
  </w:style>
  <w:style w:type="paragraph" w:customStyle="1" w:styleId="Textbody">
    <w:name w:val="Text body"/>
    <w:basedOn w:val="Standard"/>
    <w:qFormat/>
    <w:rsid w:val="00F51628"/>
    <w:pPr>
      <w:spacing w:after="140" w:line="276" w:lineRule="auto"/>
    </w:pPr>
  </w:style>
  <w:style w:type="paragraph" w:styleId="Normlnweb">
    <w:name w:val="Normal (Web)"/>
    <w:basedOn w:val="Standard"/>
    <w:qFormat/>
    <w:rsid w:val="00F51628"/>
    <w:pPr>
      <w:spacing w:before="280" w:after="280"/>
    </w:pPr>
    <w:rPr>
      <w:rFonts w:ascii="Times New Roman" w:hAnsi="Times New Roman" w:cs="Times New Roman"/>
      <w:lang w:eastAsia="de-DE"/>
    </w:rPr>
  </w:style>
  <w:style w:type="paragraph" w:styleId="Textbubliny">
    <w:name w:val="Balloon Text"/>
    <w:basedOn w:val="Normln"/>
    <w:qFormat/>
    <w:rsid w:val="00F5162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2793</Words>
  <Characters>16485</Characters>
  <Application>Microsoft Office Word</Application>
  <DocSecurity>0</DocSecurity>
  <Lines>137</Lines>
  <Paragraphs>38</Paragraphs>
  <ScaleCrop>false</ScaleCrop>
  <Company>Hewlett-Packard Company</Company>
  <LinksUpToDate>false</LinksUpToDate>
  <CharactersWithSpaces>19240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Pazlerova</dc:creator>
  <dc:description/>
  <cp:lastModifiedBy>vaclav.marek</cp:lastModifiedBy>
  <cp:revision>9</cp:revision>
  <dcterms:created xsi:type="dcterms:W3CDTF">2022-11-25T09:41:00Z</dcterms:created>
  <dcterms:modified xsi:type="dcterms:W3CDTF">2022-12-01T08:29:00Z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