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3C6" w:rsidRDefault="006C4516">
      <w:pPr>
        <w:rPr>
          <w:rFonts w:ascii="Arial" w:hAnsi="Arial"/>
        </w:rPr>
        <w:sectPr w:rsidR="00BB63C6">
          <w:pgSz w:w="11906" w:h="16838"/>
          <w:pgMar w:top="1440" w:right="1440" w:bottom="875" w:left="1440" w:header="0" w:footer="0" w:gutter="0"/>
          <w:cols w:space="708"/>
          <w:formProt w:val="0"/>
          <w:docGrid w:linePitch="360"/>
        </w:sectPr>
      </w:pPr>
      <w:r>
        <w:rPr>
          <w:rFonts w:ascii="Arial" w:hAnsi="Arial"/>
          <w:noProof/>
          <w:lang w:eastAsia="cs-CZ" w:bidi="ar-SA"/>
        </w:rPr>
        <w:drawing>
          <wp:anchor distT="0" distB="0" distL="0" distR="0" simplePos="0" relativeHeight="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692130"/>
            <wp:effectExtent l="0" t="0" r="0" b="0"/>
            <wp:wrapNone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8" t="-5" r="-8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page1"/>
      <w:bookmarkEnd w:id="0"/>
    </w:p>
    <w:p w:rsidR="00BB63C6" w:rsidRDefault="006C4516">
      <w:pPr>
        <w:spacing w:line="200" w:lineRule="exact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  <w:noProof/>
          <w:lang w:eastAsia="cs-CZ" w:bidi="ar-SA"/>
        </w:rPr>
        <w:lastRenderedPageBreak/>
        <w:drawing>
          <wp:anchor distT="0" distB="0" distL="0" distR="0" simplePos="0" relativeHeight="3" behindDoc="1" locked="0" layoutInCell="1" allowOverlap="1">
            <wp:simplePos x="0" y="0"/>
            <wp:positionH relativeFrom="page">
              <wp:posOffset>3051175</wp:posOffset>
            </wp:positionH>
            <wp:positionV relativeFrom="page">
              <wp:posOffset>1474470</wp:posOffset>
            </wp:positionV>
            <wp:extent cx="1189990" cy="153670"/>
            <wp:effectExtent l="0" t="0" r="0" b="0"/>
            <wp:wrapNone/>
            <wp:docPr id="2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38" t="-295" r="-38" b="-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53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Times New Roman"/>
          <w:noProof/>
          <w:lang w:eastAsia="cs-CZ" w:bidi="ar-SA"/>
        </w:rPr>
        <w:drawing>
          <wp:anchor distT="0" distB="0" distL="0" distR="0" simplePos="0" relativeHeight="4" behindDoc="1" locked="0" layoutInCell="1" allowOverlap="1">
            <wp:simplePos x="0" y="0"/>
            <wp:positionH relativeFrom="page">
              <wp:posOffset>3350895</wp:posOffset>
            </wp:positionH>
            <wp:positionV relativeFrom="page">
              <wp:posOffset>488315</wp:posOffset>
            </wp:positionV>
            <wp:extent cx="579120" cy="882650"/>
            <wp:effectExtent l="0" t="0" r="0" b="0"/>
            <wp:wrapNone/>
            <wp:docPr id="3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77" t="-51" r="-77" b="-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page2"/>
      <w:bookmarkEnd w:id="1"/>
    </w:p>
    <w:p w:rsidR="00BB63C6" w:rsidRDefault="00BB63C6">
      <w:pPr>
        <w:spacing w:line="200" w:lineRule="exact"/>
        <w:rPr>
          <w:rFonts w:ascii="Arial" w:eastAsia="Times New Roman" w:hAnsi="Arial" w:cs="Times New Roman"/>
        </w:rPr>
      </w:pPr>
    </w:p>
    <w:p w:rsidR="00BB63C6" w:rsidRDefault="00BB63C6">
      <w:pPr>
        <w:spacing w:line="200" w:lineRule="exact"/>
        <w:rPr>
          <w:rFonts w:ascii="Arial" w:eastAsia="Times New Roman" w:hAnsi="Arial" w:cs="Times New Roman"/>
        </w:rPr>
      </w:pPr>
    </w:p>
    <w:p w:rsidR="00BB63C6" w:rsidRDefault="00BB63C6">
      <w:pPr>
        <w:spacing w:line="200" w:lineRule="exact"/>
        <w:rPr>
          <w:rFonts w:ascii="Arial" w:eastAsia="Times New Roman" w:hAnsi="Arial" w:cs="Times New Roman"/>
        </w:rPr>
      </w:pPr>
    </w:p>
    <w:p w:rsidR="00BB63C6" w:rsidRDefault="00BB63C6">
      <w:pPr>
        <w:spacing w:line="200" w:lineRule="exact"/>
        <w:rPr>
          <w:rFonts w:ascii="Arial" w:eastAsia="Times New Roman" w:hAnsi="Arial" w:cs="Times New Roman"/>
        </w:rPr>
      </w:pPr>
    </w:p>
    <w:p w:rsidR="00BB63C6" w:rsidRDefault="00BB63C6">
      <w:pPr>
        <w:spacing w:line="200" w:lineRule="exact"/>
        <w:rPr>
          <w:rFonts w:ascii="Arial" w:eastAsia="Times New Roman" w:hAnsi="Arial" w:cs="Times New Roman"/>
        </w:rPr>
      </w:pPr>
    </w:p>
    <w:p w:rsidR="00BB63C6" w:rsidRDefault="00BB63C6">
      <w:pPr>
        <w:spacing w:line="200" w:lineRule="exact"/>
        <w:rPr>
          <w:rFonts w:ascii="Arial" w:eastAsia="Times New Roman" w:hAnsi="Arial" w:cs="Times New Roman"/>
        </w:rPr>
      </w:pPr>
    </w:p>
    <w:p w:rsidR="00BB63C6" w:rsidRDefault="00BB63C6">
      <w:pPr>
        <w:spacing w:line="200" w:lineRule="exact"/>
        <w:rPr>
          <w:rFonts w:ascii="Arial" w:eastAsia="Times New Roman" w:hAnsi="Arial" w:cs="Times New Roman"/>
        </w:rPr>
      </w:pPr>
    </w:p>
    <w:p w:rsidR="00BB63C6" w:rsidRDefault="00BB63C6">
      <w:pPr>
        <w:spacing w:line="200" w:lineRule="exact"/>
        <w:rPr>
          <w:rFonts w:ascii="Arial" w:eastAsia="Times New Roman" w:hAnsi="Arial" w:cs="Times New Roman"/>
        </w:rPr>
      </w:pPr>
    </w:p>
    <w:p w:rsidR="00BB63C6" w:rsidRDefault="00BB63C6">
      <w:pPr>
        <w:spacing w:line="204" w:lineRule="exact"/>
        <w:rPr>
          <w:rFonts w:ascii="Arial" w:eastAsia="Times New Roman" w:hAnsi="Arial" w:cs="Times New Roman"/>
        </w:rPr>
      </w:pPr>
    </w:p>
    <w:p w:rsidR="00BB63C6" w:rsidRDefault="006C4516">
      <w:pPr>
        <w:ind w:right="-4"/>
        <w:jc w:val="center"/>
        <w:rPr>
          <w:rFonts w:ascii="Arial" w:eastAsia="Arial" w:hAnsi="Arial"/>
          <w:sz w:val="57"/>
        </w:rPr>
      </w:pPr>
      <w:r>
        <w:rPr>
          <w:rFonts w:ascii="Arial" w:eastAsia="Arial" w:hAnsi="Arial"/>
          <w:sz w:val="57"/>
        </w:rPr>
        <w:t>LAUREÁTI CEN ČESKÁ HLAVA 2021</w:t>
      </w:r>
    </w:p>
    <w:p w:rsidR="00BB63C6" w:rsidRDefault="00BB63C6">
      <w:pPr>
        <w:spacing w:line="200" w:lineRule="exact"/>
        <w:rPr>
          <w:rFonts w:ascii="Arial" w:eastAsia="Times New Roman" w:hAnsi="Arial" w:cs="Times New Roman"/>
          <w:sz w:val="57"/>
        </w:rPr>
      </w:pPr>
    </w:p>
    <w:p w:rsidR="00BB63C6" w:rsidRDefault="00BB63C6">
      <w:pPr>
        <w:spacing w:line="200" w:lineRule="exact"/>
        <w:rPr>
          <w:rFonts w:ascii="Arial" w:eastAsia="Times New Roman" w:hAnsi="Arial" w:cs="Times New Roman"/>
        </w:rPr>
      </w:pPr>
    </w:p>
    <w:p w:rsidR="00BB63C6" w:rsidRDefault="00BB63C6">
      <w:pPr>
        <w:spacing w:line="382" w:lineRule="exact"/>
        <w:rPr>
          <w:rFonts w:ascii="Arial" w:eastAsia="Times New Roman" w:hAnsi="Arial" w:cs="Times New Roman"/>
        </w:rPr>
      </w:pPr>
    </w:p>
    <w:p w:rsidR="00BB63C6" w:rsidRDefault="006C4516">
      <w:pPr>
        <w:ind w:right="-4"/>
        <w:jc w:val="center"/>
        <w:rPr>
          <w:rFonts w:ascii="Arial" w:eastAsia="Arial" w:hAnsi="Arial"/>
          <w:b/>
          <w:color w:val="E30613"/>
          <w:sz w:val="34"/>
        </w:rPr>
      </w:pPr>
      <w:r>
        <w:rPr>
          <w:rFonts w:ascii="Arial" w:eastAsia="Arial" w:hAnsi="Arial"/>
          <w:b/>
          <w:color w:val="E30613"/>
          <w:sz w:val="34"/>
        </w:rPr>
        <w:t>Národní cena vlády Česká hlava</w:t>
      </w:r>
    </w:p>
    <w:p w:rsidR="00BB63C6" w:rsidRDefault="00BB63C6">
      <w:pPr>
        <w:spacing w:line="230" w:lineRule="exact"/>
        <w:rPr>
          <w:rFonts w:ascii="Arial" w:eastAsia="Times New Roman" w:hAnsi="Arial" w:cs="Times New Roman"/>
          <w:b/>
          <w:color w:val="E30613"/>
          <w:sz w:val="34"/>
        </w:rPr>
      </w:pPr>
    </w:p>
    <w:p w:rsidR="00BB63C6" w:rsidRDefault="006C4516">
      <w:pPr>
        <w:ind w:left="5"/>
        <w:rPr>
          <w:rFonts w:ascii="Arial" w:hAnsi="Arial"/>
        </w:rPr>
      </w:pPr>
      <w:r>
        <w:rPr>
          <w:rFonts w:ascii="Arial" w:eastAsia="Arial" w:hAnsi="Arial"/>
          <w:b/>
        </w:rPr>
        <w:t xml:space="preserve">Národní cena vlády Česká hlava (dále jen „národní cena vlády“) se uděluje podle </w:t>
      </w:r>
      <w:proofErr w:type="spellStart"/>
      <w:r>
        <w:rPr>
          <w:rFonts w:ascii="Arial" w:eastAsia="Arial" w:hAnsi="Arial"/>
          <w:b/>
        </w:rPr>
        <w:t>ust</w:t>
      </w:r>
      <w:proofErr w:type="spellEnd"/>
      <w:r>
        <w:rPr>
          <w:rFonts w:ascii="Arial" w:eastAsia="Arial" w:hAnsi="Arial"/>
          <w:b/>
        </w:rPr>
        <w:t>. § 1 odst. 1 písm.</w:t>
      </w:r>
    </w:p>
    <w:p w:rsidR="00BB63C6" w:rsidRDefault="00BB63C6">
      <w:pPr>
        <w:spacing w:line="10" w:lineRule="exact"/>
        <w:rPr>
          <w:rFonts w:ascii="Arial" w:eastAsia="Times New Roman" w:hAnsi="Arial" w:cs="Times New Roman"/>
          <w:b/>
        </w:rPr>
      </w:pPr>
    </w:p>
    <w:p w:rsidR="00BB63C6" w:rsidRDefault="006C4516">
      <w:pPr>
        <w:numPr>
          <w:ilvl w:val="0"/>
          <w:numId w:val="1"/>
        </w:numPr>
        <w:tabs>
          <w:tab w:val="left" w:pos="242"/>
        </w:tabs>
        <w:spacing w:line="290" w:lineRule="auto"/>
        <w:ind w:left="5" w:hanging="5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nařízení vlády č. 71/2013 Sb. o podmínkách pro ocenění výsledků výzkumu, experimentálního vývoje a inovací ze dne 27. února 2013.</w:t>
      </w:r>
    </w:p>
    <w:p w:rsidR="00BB63C6" w:rsidRDefault="00BB63C6">
      <w:pPr>
        <w:spacing w:line="200" w:lineRule="exact"/>
        <w:rPr>
          <w:rFonts w:ascii="Arial" w:eastAsia="Times New Roman" w:hAnsi="Arial" w:cs="Times New Roman"/>
          <w:b/>
        </w:rPr>
      </w:pPr>
    </w:p>
    <w:p w:rsidR="00BB63C6" w:rsidRDefault="00BB63C6">
      <w:pPr>
        <w:spacing w:line="208" w:lineRule="exact"/>
        <w:rPr>
          <w:rFonts w:ascii="Arial" w:eastAsia="Times New Roman" w:hAnsi="Arial" w:cs="Times New Roman"/>
        </w:rPr>
      </w:pPr>
    </w:p>
    <w:p w:rsidR="00BB63C6" w:rsidRDefault="006C4516">
      <w:pPr>
        <w:ind w:left="5"/>
        <w:rPr>
          <w:rFonts w:ascii="Arial" w:hAnsi="Arial"/>
        </w:rPr>
      </w:pPr>
      <w:r>
        <w:rPr>
          <w:rFonts w:ascii="Arial" w:eastAsia="Arial" w:hAnsi="Arial"/>
          <w:b/>
          <w:color w:val="E30613"/>
          <w:sz w:val="30"/>
        </w:rPr>
        <w:t>Laureát:</w:t>
      </w:r>
      <w:r>
        <w:rPr>
          <w:rFonts w:ascii="Arial" w:eastAsia="Arial" w:hAnsi="Arial"/>
          <w:b/>
          <w:color w:val="000000"/>
          <w:sz w:val="30"/>
        </w:rPr>
        <w:t xml:space="preserve"> prof. Ing. Vladimír Kučera, DrSc., dr. </w:t>
      </w:r>
      <w:proofErr w:type="spellStart"/>
      <w:r>
        <w:rPr>
          <w:rFonts w:ascii="Arial" w:eastAsia="Arial" w:hAnsi="Arial"/>
          <w:b/>
          <w:color w:val="000000"/>
          <w:sz w:val="30"/>
        </w:rPr>
        <w:t>h</w:t>
      </w:r>
      <w:proofErr w:type="spellEnd"/>
      <w:r>
        <w:rPr>
          <w:rFonts w:ascii="Arial" w:eastAsia="Arial" w:hAnsi="Arial"/>
          <w:b/>
          <w:color w:val="000000"/>
          <w:sz w:val="30"/>
        </w:rPr>
        <w:t xml:space="preserve">. </w:t>
      </w:r>
      <w:proofErr w:type="spellStart"/>
      <w:r>
        <w:rPr>
          <w:rFonts w:ascii="Arial" w:eastAsia="Arial" w:hAnsi="Arial"/>
          <w:b/>
          <w:color w:val="000000"/>
          <w:sz w:val="30"/>
        </w:rPr>
        <w:t>c</w:t>
      </w:r>
      <w:proofErr w:type="spellEnd"/>
      <w:r>
        <w:rPr>
          <w:rFonts w:ascii="Arial" w:eastAsia="Arial" w:hAnsi="Arial"/>
          <w:b/>
          <w:color w:val="000000"/>
          <w:sz w:val="30"/>
        </w:rPr>
        <w:t>.</w:t>
      </w:r>
    </w:p>
    <w:p w:rsidR="00BB63C6" w:rsidRDefault="00BB63C6">
      <w:pPr>
        <w:spacing w:line="200" w:lineRule="exact"/>
        <w:rPr>
          <w:rFonts w:ascii="Arial" w:eastAsia="Times New Roman" w:hAnsi="Arial" w:cs="Times New Roman"/>
          <w:b/>
          <w:color w:val="000000"/>
          <w:sz w:val="30"/>
        </w:rPr>
      </w:pPr>
    </w:p>
    <w:p w:rsidR="00BB63C6" w:rsidRDefault="00BB63C6">
      <w:pPr>
        <w:spacing w:line="277" w:lineRule="exact"/>
        <w:rPr>
          <w:rFonts w:ascii="Arial" w:eastAsia="Times New Roman" w:hAnsi="Arial" w:cs="Times New Roman"/>
        </w:rPr>
      </w:pPr>
    </w:p>
    <w:p w:rsidR="00BB63C6" w:rsidRDefault="006C4516">
      <w:pPr>
        <w:spacing w:line="252" w:lineRule="auto"/>
        <w:ind w:left="5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Prof. Vladimír Kučera patří k osobnostem, které formovaly stěžejní teorie pokročilého řízení lineárních systémů. Snad i shodou okolnosti k účasti v Centru aplikované kybernetiky, které profesor Vladimír Kučera založil. Tato projektová platforma sdružující přední pracoviště automatického řízení a kybernetiky českých technických univerzit a průmyslové partnery, kterou profesor Kučera poté vedl úctyhodných 20 let, umožnila profesní rozvoj a vlastně i akademickou kariéru celé generaci mladých výzkumníků oboru.</w:t>
      </w:r>
    </w:p>
    <w:p w:rsidR="00BB63C6" w:rsidRDefault="00BB63C6">
      <w:pPr>
        <w:spacing w:line="199" w:lineRule="exact"/>
        <w:rPr>
          <w:rFonts w:ascii="Arial" w:eastAsia="Times New Roman" w:hAnsi="Arial" w:cs="Times New Roman"/>
        </w:rPr>
      </w:pPr>
    </w:p>
    <w:p w:rsidR="00BB63C6" w:rsidRDefault="006C4516">
      <w:pPr>
        <w:spacing w:line="252" w:lineRule="auto"/>
        <w:ind w:left="5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V celosvětovém měřítku je profesor Kučera vnímán především jako geniální vědec s klíčivým podílem k rozvoji teorie řízení lineárních systémů. Již v sedmdesátých a osmdesátých letech svým komplexním a do detailu propracovaným přístupem, formuloval zásadní formalizmy pro teorii kvadraticky optimálních systémů řízení a vypracoval zcela původní metodu syntézy regulačních obvodů založenou na řešení polynomiálních rovnic. Jeho nejznámějším výsledkem, který nechybí snad v žádném soudobém učebním textu teorie řízení systémů, je </w:t>
      </w:r>
      <w:proofErr w:type="spellStart"/>
      <w:r>
        <w:rPr>
          <w:rFonts w:ascii="Arial" w:eastAsia="Arial" w:hAnsi="Arial"/>
        </w:rPr>
        <w:t>Youla</w:t>
      </w:r>
      <w:proofErr w:type="spellEnd"/>
      <w:r>
        <w:rPr>
          <w:rFonts w:ascii="Arial" w:eastAsia="Arial" w:hAnsi="Arial"/>
        </w:rPr>
        <w:t xml:space="preserve">-Kučerova parametrizace. Tento pozoruhodný výsledek, formulovaný nezávisle profesory Dante C. </w:t>
      </w:r>
      <w:proofErr w:type="spellStart"/>
      <w:r>
        <w:rPr>
          <w:rFonts w:ascii="Arial" w:eastAsia="Arial" w:hAnsi="Arial"/>
        </w:rPr>
        <w:t>Youlou</w:t>
      </w:r>
      <w:proofErr w:type="spellEnd"/>
      <w:r>
        <w:rPr>
          <w:rFonts w:ascii="Arial" w:eastAsia="Arial" w:hAnsi="Arial"/>
        </w:rPr>
        <w:t xml:space="preserve"> a Vladimírem Kučerou, umožňuje parametrizaci všech regulátorů stabilizujících daný systém. K dalším významným výsledkům pro teorii systémů bezesporu patří nalezení kanonické formy, která je z pohledu stability systému invariantní vůči přípustným transformacím. Naprosto fenomenálním výsledkem profesora Kučery z posledních let, je vyřešení problému neinteraktivního řízení složitých systémů s více vstupy a výstupy. Tento problém, který čekal na vyřešení dlouhá desetiletí, je významný z pohledu atomizace složitého systému na podsystémy, které se vzájemně neovlivňují. Teoretické výsledky profesora Kučery tvoří nedílnou součást ucelené teorie řízení, díky které dnes zvládáme efektivně a spolehlivě řídit tak komplexní technické systémy jakými jsou například jaderné elektrárny, distribuované energetické sítě, komplexní výrobní technologie, robotické systémy nebo přesné lékařské přístroje. Profesor Kučera se sám významně podílel a stále podílí na zavádění pokročile teorie řízení do praxe v projektech aplikovaného výzkumu, nejenom v rámci zmíněného Centra aplikované kybernetiky, ale i v dalších evropských a národních projektech.</w:t>
      </w:r>
    </w:p>
    <w:p w:rsidR="00BB63C6" w:rsidRDefault="00BB63C6">
      <w:pPr>
        <w:spacing w:line="215" w:lineRule="exact"/>
        <w:rPr>
          <w:rFonts w:ascii="Arial" w:eastAsia="Times New Roman" w:hAnsi="Arial" w:cs="Times New Roman"/>
        </w:rPr>
      </w:pPr>
    </w:p>
    <w:p w:rsidR="00BB63C6" w:rsidRDefault="006C4516">
      <w:pPr>
        <w:spacing w:line="271" w:lineRule="auto"/>
        <w:ind w:left="5"/>
        <w:jc w:val="both"/>
        <w:rPr>
          <w:rFonts w:ascii="Arial" w:eastAsia="Arial" w:hAnsi="Arial"/>
          <w:sz w:val="19"/>
        </w:rPr>
        <w:sectPr w:rsidR="00BB63C6">
          <w:pgSz w:w="11906" w:h="16838"/>
          <w:pgMar w:top="1440" w:right="1026" w:bottom="1440" w:left="1035" w:header="0" w:footer="0" w:gutter="0"/>
          <w:cols w:space="708"/>
          <w:formProt w:val="0"/>
          <w:docGrid w:linePitch="360"/>
        </w:sectPr>
      </w:pPr>
      <w:r>
        <w:rPr>
          <w:rFonts w:ascii="Arial" w:eastAsia="Arial" w:hAnsi="Arial"/>
          <w:spacing w:val="-2"/>
        </w:rPr>
        <w:t xml:space="preserve">Světový ohlas profesora Kučery nejlépe dokumentuje jeho zvolení prezidentem Mezinárodní federace automatického řízení (IFAC) v roce 2002 a s tím související udělení pořadatelství prestižního Světového kongresu IFAC 2005 v Praze. Uznání profesora Kučery též vyplývá z mnoha národních a mezinárodních ocenění, např. Národní cena ČR za vypracování a praktické využití algebraické teorie řízení (1989), Medaile MŠMT 1. Stupně za činnost v Akreditační komisi a přínos pro vysoké školství (2000), </w:t>
      </w:r>
      <w:proofErr w:type="spellStart"/>
      <w:r>
        <w:rPr>
          <w:rFonts w:ascii="Arial" w:eastAsia="Arial" w:hAnsi="Arial"/>
          <w:spacing w:val="-2"/>
        </w:rPr>
        <w:t>Doctor</w:t>
      </w:r>
      <w:proofErr w:type="spellEnd"/>
      <w:r>
        <w:rPr>
          <w:rFonts w:ascii="Arial" w:eastAsia="Arial" w:hAnsi="Arial"/>
          <w:spacing w:val="-2"/>
        </w:rPr>
        <w:t xml:space="preserve"> honoris causa, </w:t>
      </w:r>
      <w:proofErr w:type="spellStart"/>
      <w:r>
        <w:rPr>
          <w:rFonts w:ascii="Arial" w:eastAsia="Arial" w:hAnsi="Arial"/>
          <w:spacing w:val="-2"/>
        </w:rPr>
        <w:t>Univesité</w:t>
      </w:r>
      <w:proofErr w:type="spellEnd"/>
      <w:r>
        <w:rPr>
          <w:rFonts w:ascii="Arial" w:eastAsia="Arial" w:hAnsi="Arial"/>
          <w:spacing w:val="-2"/>
        </w:rPr>
        <w:t xml:space="preserve"> Paul </w:t>
      </w:r>
      <w:proofErr w:type="spellStart"/>
      <w:r>
        <w:rPr>
          <w:rFonts w:ascii="Arial" w:eastAsia="Arial" w:hAnsi="Arial"/>
          <w:spacing w:val="-2"/>
        </w:rPr>
        <w:t>Sabatier</w:t>
      </w:r>
      <w:proofErr w:type="spellEnd"/>
      <w:r>
        <w:rPr>
          <w:rFonts w:ascii="Arial" w:eastAsia="Arial" w:hAnsi="Arial"/>
          <w:spacing w:val="-2"/>
        </w:rPr>
        <w:t xml:space="preserve">, </w:t>
      </w:r>
      <w:proofErr w:type="spellStart"/>
      <w:r>
        <w:rPr>
          <w:rFonts w:ascii="Arial" w:eastAsia="Arial" w:hAnsi="Arial"/>
          <w:spacing w:val="-2"/>
        </w:rPr>
        <w:t>Tolouse</w:t>
      </w:r>
      <w:proofErr w:type="spellEnd"/>
      <w:r>
        <w:rPr>
          <w:rFonts w:ascii="Arial" w:eastAsia="Arial" w:hAnsi="Arial"/>
          <w:spacing w:val="-2"/>
        </w:rPr>
        <w:t xml:space="preserve"> (2003) a </w:t>
      </w:r>
      <w:proofErr w:type="spellStart"/>
      <w:r>
        <w:rPr>
          <w:rFonts w:ascii="Arial" w:eastAsia="Arial" w:hAnsi="Arial"/>
          <w:spacing w:val="-2"/>
        </w:rPr>
        <w:t>Université</w:t>
      </w:r>
      <w:proofErr w:type="spellEnd"/>
      <w:r>
        <w:rPr>
          <w:rFonts w:ascii="Arial" w:eastAsia="Arial" w:hAnsi="Arial"/>
          <w:spacing w:val="-2"/>
        </w:rPr>
        <w:t xml:space="preserve"> </w:t>
      </w:r>
      <w:proofErr w:type="spellStart"/>
      <w:r>
        <w:rPr>
          <w:rFonts w:ascii="Arial" w:eastAsia="Arial" w:hAnsi="Arial"/>
          <w:spacing w:val="-2"/>
        </w:rPr>
        <w:t>Henri</w:t>
      </w:r>
      <w:proofErr w:type="spellEnd"/>
      <w:r>
        <w:rPr>
          <w:rFonts w:ascii="Arial" w:eastAsia="Arial" w:hAnsi="Arial"/>
          <w:spacing w:val="-2"/>
        </w:rPr>
        <w:t xml:space="preserve"> </w:t>
      </w:r>
      <w:proofErr w:type="spellStart"/>
      <w:r>
        <w:rPr>
          <w:rFonts w:ascii="Arial" w:eastAsia="Arial" w:hAnsi="Arial"/>
          <w:spacing w:val="-2"/>
        </w:rPr>
        <w:t>Poincaré</w:t>
      </w:r>
      <w:proofErr w:type="spellEnd"/>
      <w:r>
        <w:rPr>
          <w:rFonts w:ascii="Arial" w:eastAsia="Arial" w:hAnsi="Arial"/>
          <w:spacing w:val="-2"/>
        </w:rPr>
        <w:t>, Nancy (2005). Uznání také vyplývá z tisíců ohlasů jeho prací v mezinárodních databázích a z řady plenárních přednášek na prestižních konferencích oboru.</w:t>
      </w:r>
    </w:p>
    <w:p w:rsidR="00BB63C6" w:rsidRDefault="006C4516">
      <w:pPr>
        <w:spacing w:line="200" w:lineRule="exact"/>
        <w:rPr>
          <w:rFonts w:ascii="Arial" w:eastAsia="Times New Roman" w:hAnsi="Arial" w:cs="Times New Roman"/>
          <w:sz w:val="19"/>
        </w:rPr>
      </w:pPr>
      <w:r>
        <w:rPr>
          <w:rFonts w:ascii="Arial" w:eastAsia="Times New Roman" w:hAnsi="Arial" w:cs="Times New Roman"/>
          <w:noProof/>
          <w:sz w:val="19"/>
          <w:lang w:eastAsia="cs-CZ" w:bidi="ar-SA"/>
        </w:rPr>
        <w:lastRenderedPageBreak/>
        <w:drawing>
          <wp:anchor distT="0" distB="0" distL="0" distR="0" simplePos="0" relativeHeight="5" behindDoc="1" locked="0" layoutInCell="1" allowOverlap="1">
            <wp:simplePos x="0" y="0"/>
            <wp:positionH relativeFrom="page">
              <wp:posOffset>3183890</wp:posOffset>
            </wp:positionH>
            <wp:positionV relativeFrom="page">
              <wp:posOffset>1474470</wp:posOffset>
            </wp:positionV>
            <wp:extent cx="1189990" cy="153670"/>
            <wp:effectExtent l="0" t="0" r="0" b="0"/>
            <wp:wrapNone/>
            <wp:docPr id="4" name="Obráze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38" t="-295" r="-38" b="-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53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Times New Roman"/>
          <w:noProof/>
          <w:sz w:val="19"/>
          <w:lang w:eastAsia="cs-CZ" w:bidi="ar-SA"/>
        </w:rPr>
        <w:drawing>
          <wp:anchor distT="0" distB="0" distL="0" distR="0" simplePos="0" relativeHeight="6" behindDoc="1" locked="0" layoutInCell="1" allowOverlap="1">
            <wp:simplePos x="0" y="0"/>
            <wp:positionH relativeFrom="page">
              <wp:posOffset>3484245</wp:posOffset>
            </wp:positionH>
            <wp:positionV relativeFrom="page">
              <wp:posOffset>488315</wp:posOffset>
            </wp:positionV>
            <wp:extent cx="579120" cy="882650"/>
            <wp:effectExtent l="0" t="0" r="0" b="0"/>
            <wp:wrapNone/>
            <wp:docPr id="5" name="Obrázek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77" t="-51" r="-77" b="-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page3"/>
      <w:bookmarkEnd w:id="2"/>
    </w:p>
    <w:p w:rsidR="00BB63C6" w:rsidRDefault="00BB63C6">
      <w:pPr>
        <w:spacing w:line="200" w:lineRule="exact"/>
        <w:rPr>
          <w:rFonts w:ascii="Arial" w:eastAsia="Times New Roman" w:hAnsi="Arial" w:cs="Times New Roman"/>
        </w:rPr>
      </w:pPr>
    </w:p>
    <w:p w:rsidR="00BB63C6" w:rsidRDefault="00BB63C6">
      <w:pPr>
        <w:spacing w:line="200" w:lineRule="exact"/>
        <w:rPr>
          <w:rFonts w:ascii="Arial" w:eastAsia="Times New Roman" w:hAnsi="Arial" w:cs="Times New Roman"/>
        </w:rPr>
      </w:pPr>
    </w:p>
    <w:p w:rsidR="00BB63C6" w:rsidRDefault="00BB63C6">
      <w:pPr>
        <w:spacing w:line="200" w:lineRule="exact"/>
        <w:rPr>
          <w:rFonts w:ascii="Arial" w:eastAsia="Times New Roman" w:hAnsi="Arial" w:cs="Times New Roman"/>
        </w:rPr>
      </w:pPr>
    </w:p>
    <w:p w:rsidR="00BB63C6" w:rsidRDefault="00BB63C6">
      <w:pPr>
        <w:spacing w:line="200" w:lineRule="exact"/>
        <w:rPr>
          <w:rFonts w:ascii="Arial" w:eastAsia="Times New Roman" w:hAnsi="Arial" w:cs="Times New Roman"/>
        </w:rPr>
      </w:pPr>
    </w:p>
    <w:p w:rsidR="00BB63C6" w:rsidRDefault="00BB63C6">
      <w:pPr>
        <w:spacing w:line="200" w:lineRule="exact"/>
        <w:rPr>
          <w:rFonts w:ascii="Arial" w:eastAsia="Times New Roman" w:hAnsi="Arial" w:cs="Times New Roman"/>
        </w:rPr>
      </w:pPr>
    </w:p>
    <w:p w:rsidR="00BB63C6" w:rsidRDefault="00BB63C6">
      <w:pPr>
        <w:spacing w:line="200" w:lineRule="exact"/>
        <w:rPr>
          <w:rFonts w:ascii="Arial" w:eastAsia="Times New Roman" w:hAnsi="Arial" w:cs="Times New Roman"/>
        </w:rPr>
      </w:pPr>
    </w:p>
    <w:p w:rsidR="00BB63C6" w:rsidRDefault="00BB63C6">
      <w:pPr>
        <w:spacing w:line="200" w:lineRule="exact"/>
        <w:rPr>
          <w:rFonts w:ascii="Arial" w:eastAsia="Times New Roman" w:hAnsi="Arial" w:cs="Times New Roman"/>
        </w:rPr>
      </w:pPr>
    </w:p>
    <w:p w:rsidR="00BB63C6" w:rsidRDefault="00BB63C6">
      <w:pPr>
        <w:spacing w:line="200" w:lineRule="exact"/>
        <w:rPr>
          <w:rFonts w:ascii="Arial" w:eastAsia="Times New Roman" w:hAnsi="Arial" w:cs="Times New Roman"/>
        </w:rPr>
      </w:pPr>
    </w:p>
    <w:p w:rsidR="00BB63C6" w:rsidRDefault="006C4516">
      <w:pPr>
        <w:jc w:val="center"/>
        <w:rPr>
          <w:rFonts w:ascii="Arial" w:eastAsia="Arial" w:hAnsi="Arial"/>
          <w:b/>
          <w:color w:val="E30613"/>
          <w:sz w:val="34"/>
        </w:rPr>
      </w:pPr>
      <w:r>
        <w:rPr>
          <w:rFonts w:ascii="Arial" w:eastAsia="Arial" w:hAnsi="Arial"/>
          <w:b/>
          <w:color w:val="E30613"/>
          <w:sz w:val="34"/>
        </w:rPr>
        <w:t>Cena společnosti ABB, cena Invence</w:t>
      </w:r>
    </w:p>
    <w:p w:rsidR="00BB63C6" w:rsidRDefault="00BB63C6">
      <w:pPr>
        <w:spacing w:line="210" w:lineRule="exact"/>
        <w:rPr>
          <w:rFonts w:ascii="Arial" w:eastAsia="Times New Roman" w:hAnsi="Arial" w:cs="Times New Roman"/>
          <w:b/>
          <w:color w:val="E30613"/>
          <w:sz w:val="34"/>
        </w:rPr>
      </w:pPr>
    </w:p>
    <w:p w:rsidR="00BB63C6" w:rsidRDefault="006C4516">
      <w:pPr>
        <w:spacing w:line="312" w:lineRule="auto"/>
        <w:jc w:val="both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Cena se uděluje za objev či mimořádný počin uskutečněný v posledních několika letech v oblasti základního nebo aplikovaného výzkumu, či za technologickou inovaci s přihlédnutím k perspektivě využitelnosti v praxi.</w:t>
      </w:r>
    </w:p>
    <w:p w:rsidR="00BB63C6" w:rsidRDefault="00BB63C6">
      <w:pPr>
        <w:spacing w:line="395" w:lineRule="exact"/>
        <w:rPr>
          <w:rFonts w:ascii="Arial" w:eastAsia="Times New Roman" w:hAnsi="Arial" w:cs="Times New Roman"/>
          <w:b/>
          <w:sz w:val="19"/>
        </w:rPr>
      </w:pPr>
    </w:p>
    <w:p w:rsidR="00BB63C6" w:rsidRDefault="006C4516">
      <w:pPr>
        <w:rPr>
          <w:rFonts w:ascii="Arial" w:hAnsi="Arial"/>
        </w:rPr>
      </w:pPr>
      <w:r>
        <w:rPr>
          <w:rFonts w:ascii="Arial" w:eastAsia="Arial" w:hAnsi="Arial"/>
          <w:b/>
          <w:color w:val="E30613"/>
          <w:sz w:val="30"/>
        </w:rPr>
        <w:t>Laureát:</w:t>
      </w:r>
      <w:r>
        <w:rPr>
          <w:rFonts w:ascii="Arial" w:eastAsia="Arial" w:hAnsi="Arial"/>
          <w:b/>
          <w:color w:val="000000"/>
          <w:sz w:val="30"/>
        </w:rPr>
        <w:t xml:space="preserve"> Ing. Jiří Potůček</w:t>
      </w:r>
    </w:p>
    <w:p w:rsidR="00BB63C6" w:rsidRDefault="006C4516">
      <w:pPr>
        <w:rPr>
          <w:rFonts w:ascii="Arial" w:hAnsi="Arial"/>
        </w:rPr>
      </w:pPr>
      <w:r>
        <w:rPr>
          <w:rFonts w:ascii="Arial" w:hAnsi="Arial"/>
        </w:rPr>
        <w:t xml:space="preserve">                       </w:t>
      </w:r>
    </w:p>
    <w:p w:rsidR="00BB63C6" w:rsidRDefault="006C4516">
      <w:pPr>
        <w:rPr>
          <w:rFonts w:ascii="Arial" w:hAnsi="Arial"/>
        </w:rPr>
      </w:pPr>
      <w:r>
        <w:rPr>
          <w:rFonts w:ascii="Arial" w:hAnsi="Arial"/>
        </w:rPr>
        <w:t xml:space="preserve">                       </w:t>
      </w:r>
      <w:r>
        <w:rPr>
          <w:rFonts w:ascii="Arial" w:eastAsia="Arial" w:hAnsi="Arial"/>
          <w:b/>
        </w:rPr>
        <w:t>Lékařský informační systém nové generace</w:t>
      </w:r>
    </w:p>
    <w:p w:rsidR="00BB63C6" w:rsidRDefault="00BB63C6">
      <w:pPr>
        <w:spacing w:line="200" w:lineRule="exact"/>
        <w:rPr>
          <w:rFonts w:ascii="Arial" w:eastAsia="Times New Roman" w:hAnsi="Arial" w:cs="Times New Roman"/>
          <w:b/>
        </w:rPr>
      </w:pPr>
    </w:p>
    <w:p w:rsidR="00BB63C6" w:rsidRDefault="00BB63C6">
      <w:pPr>
        <w:spacing w:line="291" w:lineRule="exact"/>
        <w:rPr>
          <w:rFonts w:ascii="Arial" w:eastAsia="Times New Roman" w:hAnsi="Arial" w:cs="Times New Roman"/>
        </w:rPr>
      </w:pPr>
    </w:p>
    <w:p w:rsidR="00BB63C6" w:rsidRDefault="006C4516">
      <w:pPr>
        <w:spacing w:line="264" w:lineRule="auto"/>
        <w:ind w:right="70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Od roku 1976 se Ing. Potůček zabývá matematickým modelováním biologických systémů se zvláštní pozorností na farmakokinetické a farmakodynamické /PKPD/ modely léčivých látek a jejich využitím pro optimální dávkování léků.</w:t>
      </w:r>
    </w:p>
    <w:p w:rsidR="00BB63C6" w:rsidRDefault="00BB63C6">
      <w:pPr>
        <w:spacing w:line="190" w:lineRule="exact"/>
        <w:rPr>
          <w:rFonts w:ascii="Arial" w:eastAsia="Times New Roman" w:hAnsi="Arial" w:cs="Times New Roman"/>
        </w:rPr>
      </w:pPr>
    </w:p>
    <w:p w:rsidR="00BB63C6" w:rsidRDefault="006C4516">
      <w:pPr>
        <w:spacing w:line="259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Od roku 1993 se svým týmem vyvinul též informační systém pro soukromé praxe, polikliniky a malé nemocnice. Tyto zkušenosti ho vedly k vytvoření nové </w:t>
      </w:r>
      <w:proofErr w:type="spellStart"/>
      <w:r>
        <w:rPr>
          <w:rFonts w:ascii="Arial" w:eastAsia="Arial" w:hAnsi="Arial"/>
        </w:rPr>
        <w:t>telemedicínské</w:t>
      </w:r>
      <w:proofErr w:type="spellEnd"/>
      <w:r>
        <w:rPr>
          <w:rFonts w:ascii="Arial" w:eastAsia="Arial" w:hAnsi="Arial"/>
        </w:rPr>
        <w:t xml:space="preserve"> platformy sdružující možnosti práce lékaře v ordinaci, virtuální návštěvy pacienta v domácím prostředí včetně </w:t>
      </w:r>
      <w:proofErr w:type="spellStart"/>
      <w:r>
        <w:rPr>
          <w:rFonts w:ascii="Arial" w:eastAsia="Arial" w:hAnsi="Arial"/>
        </w:rPr>
        <w:t>telemonitoringu</w:t>
      </w:r>
      <w:proofErr w:type="spellEnd"/>
      <w:r>
        <w:rPr>
          <w:rFonts w:ascii="Arial" w:eastAsia="Arial" w:hAnsi="Arial"/>
        </w:rPr>
        <w:t xml:space="preserve"> fyziologických parametrů z domácího prostředí a výpočtu optimální personalizované dávky nejčastěji používaných léků, tj.</w:t>
      </w:r>
    </w:p>
    <w:p w:rsidR="00BB63C6" w:rsidRDefault="00BB63C6">
      <w:pPr>
        <w:spacing w:line="195" w:lineRule="exact"/>
        <w:rPr>
          <w:rFonts w:ascii="Arial" w:eastAsia="Times New Roman" w:hAnsi="Arial" w:cs="Times New Roman"/>
        </w:rPr>
      </w:pPr>
    </w:p>
    <w:p w:rsidR="00BB63C6" w:rsidRDefault="006C4516">
      <w:pPr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Lékařský informační systém nové generace</w:t>
      </w:r>
    </w:p>
    <w:p w:rsidR="00BB63C6" w:rsidRDefault="00BB63C6">
      <w:pPr>
        <w:spacing w:line="251" w:lineRule="exact"/>
        <w:rPr>
          <w:rFonts w:ascii="Arial" w:eastAsia="Times New Roman" w:hAnsi="Arial" w:cs="Times New Roman"/>
          <w:b/>
        </w:rPr>
      </w:pPr>
    </w:p>
    <w:p w:rsidR="00BB63C6" w:rsidRDefault="006C4516">
      <w:pPr>
        <w:spacing w:line="252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Softwarová platforma je pomůckou pro lékaře při fyzické návštěvě či při virtuálním vyšetřeni z domácího prostředí a konečně umožňuje ukládání a přístup k zdravotním datům pacienta a ukládání potřebných údajů při návštěvě i mimo ordinaci lékaře. K této platformě byly následně připojeny </w:t>
      </w:r>
      <w:proofErr w:type="spellStart"/>
      <w:r>
        <w:rPr>
          <w:rFonts w:ascii="Arial" w:eastAsia="Arial" w:hAnsi="Arial"/>
        </w:rPr>
        <w:t>telemedicínské</w:t>
      </w:r>
      <w:proofErr w:type="spellEnd"/>
      <w:r>
        <w:rPr>
          <w:rFonts w:ascii="Arial" w:eastAsia="Arial" w:hAnsi="Arial"/>
        </w:rPr>
        <w:t xml:space="preserve"> moduly pro měření fyziologických signálů v domácím prostředí//EKG, teplota, krevní tlak, glykémie, SPO a modul pro optimalizovanou farmakoterapii.</w:t>
      </w:r>
    </w:p>
    <w:p w:rsidR="00BB63C6" w:rsidRDefault="00BB63C6">
      <w:pPr>
        <w:spacing w:line="198" w:lineRule="exact"/>
        <w:rPr>
          <w:rFonts w:ascii="Arial" w:eastAsia="Times New Roman" w:hAnsi="Arial" w:cs="Times New Roman"/>
        </w:rPr>
      </w:pPr>
    </w:p>
    <w:p w:rsidR="00BB63C6" w:rsidRDefault="006C4516">
      <w:pPr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Optimalizovaná farmakoterapie</w:t>
      </w:r>
    </w:p>
    <w:p w:rsidR="00BB63C6" w:rsidRDefault="00BB63C6">
      <w:pPr>
        <w:spacing w:line="241" w:lineRule="exact"/>
        <w:rPr>
          <w:rFonts w:ascii="Arial" w:eastAsia="Times New Roman" w:hAnsi="Arial" w:cs="Times New Roman"/>
          <w:b/>
        </w:rPr>
      </w:pPr>
    </w:p>
    <w:p w:rsidR="00BB63C6" w:rsidRDefault="006C4516">
      <w:pPr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Správné dávkování léků pacientům je medicínsky velmi složitý problém. Pro co nejlepší léčbu platí, že dávkování léku bere v úvahu nejen základní parametry, jako je věk, výška, váha, přidružené nemoci pacienta, ale i genetické dispozice, činnost ledvin a jater. Těch faktorů pro správné dávkování léků je tolik, že bez kvalitních počítačových programů to je neřešitelný problém. Ing. Jiří Potůček pracoval v mezinárodním týmu, který vypracoval metodiku tvorby simulačního modelu, návrh experimentu a simulační jazyk, pomocí kterého lze vytvořit PKPD /</w:t>
      </w:r>
      <w:proofErr w:type="spellStart"/>
      <w:r>
        <w:rPr>
          <w:rFonts w:ascii="Arial" w:eastAsia="Arial" w:hAnsi="Arial"/>
        </w:rPr>
        <w:t>farmakodkinetický</w:t>
      </w:r>
      <w:proofErr w:type="spellEnd"/>
      <w:r>
        <w:rPr>
          <w:rFonts w:ascii="Arial" w:eastAsia="Arial" w:hAnsi="Arial"/>
        </w:rPr>
        <w:t>/farmakodynamický/ model intuitivně na základě znalosti lékařů nebo farmaceutů bez podrobné znalosti matematiky. Takové PKPD modely léčivých látek byly základem unikátního, inovativního a komerčně úspěšného SW-systému pro návrh individualizovaného dávkování léčiv, jehož cílem je optimalizovat terapeutický účinek při minimálním toxickém zatížení pacienta.</w:t>
      </w:r>
    </w:p>
    <w:p w:rsidR="00BB63C6" w:rsidRDefault="006C4516">
      <w:pPr>
        <w:spacing w:line="252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Na první verzi systému v prostředí DOS a metodice PKPD modelování včetně návrhu nového experimentu pracoval Ing. Potůček v mezinárodním týmu na univerzitě v holandském Delftu a Groningenu v průběhu osmdesátých let, tedy skoro před 40 lety. Na začátku devadesátých let využil svých zkušeností z lékařského prostředí a vytvořil se svým týmem uživatelsky přívětivý zdravotnický informační systém, určený pro soukromé ordinace, který získal značnou oblibu (3500 klientů) a který se mu později podařilo výhodně prodat, čímž získal prostředky pro nákup a další inovaci lékařského informačního systému včetně modulu pro optimalizovanou farmakoterapii. Poprvé byla funkčnost tohoto modulu hodnocena v mezinárodní srovnávací studii podobných systémů pro TDM /</w:t>
      </w:r>
      <w:proofErr w:type="spellStart"/>
      <w:r>
        <w:rPr>
          <w:rFonts w:ascii="Arial" w:eastAsia="Arial" w:hAnsi="Arial"/>
        </w:rPr>
        <w:t>Terapeutical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Drug</w:t>
      </w:r>
      <w:proofErr w:type="spellEnd"/>
      <w:r>
        <w:rPr>
          <w:rFonts w:ascii="Arial" w:eastAsia="Arial" w:hAnsi="Arial"/>
        </w:rPr>
        <w:t xml:space="preserve"> Monitoring/, která byla realizována ve Švýcarsku v roce 2013. Zde se produkt Ing. Potůčka umístil na prvním místě. Současná verze získala certifikaci CE, používá se v několika desítkách zemí světa a je jedním ze dvou SW nástrojů pro individualizované dávkování léčiv, které jsou aktuálně registrovány v Evropě, jako lékařský zdravotnický prostředek. Kvality modulu pro optimalizovanou farmakoterapii byly naposled v roce 2020 důkladně posuzovány spolu s 9 dalšími stejně zaměřenými SW nástroji v článku v prestižním časopise </w:t>
      </w:r>
      <w:proofErr w:type="spellStart"/>
      <w:r>
        <w:rPr>
          <w:rFonts w:ascii="Arial" w:eastAsia="Arial" w:hAnsi="Arial"/>
        </w:rPr>
        <w:t>Frontiers</w:t>
      </w:r>
      <w:proofErr w:type="spellEnd"/>
      <w:r>
        <w:rPr>
          <w:rFonts w:ascii="Arial" w:eastAsia="Arial" w:hAnsi="Arial"/>
        </w:rPr>
        <w:t xml:space="preserve"> in </w:t>
      </w:r>
      <w:proofErr w:type="spellStart"/>
      <w:r>
        <w:rPr>
          <w:rFonts w:ascii="Arial" w:eastAsia="Arial" w:hAnsi="Arial"/>
        </w:rPr>
        <w:t>Pharmacology</w:t>
      </w:r>
      <w:proofErr w:type="spellEnd"/>
      <w:r>
        <w:rPr>
          <w:rFonts w:ascii="Arial" w:eastAsia="Arial" w:hAnsi="Arial"/>
        </w:rPr>
        <w:t>. Výsledek tohoto srovnání je obdivuhodný: Ing. Potůček se umístil na druhém místě s mizivým rozdílem bodů v celkovém hodnocení (82% oproti 83%), další produkty se pohybovaly mezi 78% a 54%.</w:t>
      </w:r>
    </w:p>
    <w:p w:rsidR="00BB63C6" w:rsidRDefault="006C4516">
      <w:pPr>
        <w:spacing w:line="252" w:lineRule="auto"/>
        <w:jc w:val="both"/>
        <w:rPr>
          <w:rFonts w:ascii="Arial" w:eastAsia="Arial" w:hAnsi="Arial"/>
          <w:sz w:val="19"/>
        </w:rPr>
        <w:sectPr w:rsidR="00BB63C6">
          <w:pgSz w:w="11906" w:h="16838"/>
          <w:pgMar w:top="1440" w:right="1026" w:bottom="135" w:left="1040" w:header="0" w:footer="0" w:gutter="0"/>
          <w:cols w:space="708"/>
          <w:formProt w:val="0"/>
          <w:docGrid w:linePitch="360"/>
        </w:sectPr>
      </w:pPr>
      <w:r>
        <w:rPr>
          <w:rFonts w:ascii="Arial" w:eastAsia="Arial" w:hAnsi="Arial"/>
        </w:rPr>
        <w:t xml:space="preserve"> </w:t>
      </w:r>
    </w:p>
    <w:p w:rsidR="00BB63C6" w:rsidRDefault="006C4516">
      <w:pPr>
        <w:spacing w:line="200" w:lineRule="exact"/>
        <w:rPr>
          <w:rFonts w:ascii="Arial" w:eastAsia="Times New Roman" w:hAnsi="Arial" w:cs="Times New Roman"/>
          <w:sz w:val="19"/>
        </w:rPr>
      </w:pPr>
      <w:r>
        <w:rPr>
          <w:rFonts w:ascii="Arial" w:eastAsia="Times New Roman" w:hAnsi="Arial" w:cs="Times New Roman"/>
          <w:noProof/>
          <w:sz w:val="19"/>
          <w:lang w:eastAsia="cs-CZ" w:bidi="ar-SA"/>
        </w:rPr>
        <w:lastRenderedPageBreak/>
        <w:drawing>
          <wp:anchor distT="0" distB="0" distL="0" distR="0" simplePos="0" relativeHeight="7" behindDoc="1" locked="0" layoutInCell="1" allowOverlap="1">
            <wp:simplePos x="0" y="0"/>
            <wp:positionH relativeFrom="page">
              <wp:posOffset>3051175</wp:posOffset>
            </wp:positionH>
            <wp:positionV relativeFrom="page">
              <wp:posOffset>1474470</wp:posOffset>
            </wp:positionV>
            <wp:extent cx="1189990" cy="153670"/>
            <wp:effectExtent l="0" t="0" r="0" b="0"/>
            <wp:wrapNone/>
            <wp:docPr id="6" name="Obrázek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38" t="-295" r="-38" b="-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53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Times New Roman"/>
          <w:noProof/>
          <w:sz w:val="19"/>
          <w:lang w:eastAsia="cs-CZ" w:bidi="ar-SA"/>
        </w:rPr>
        <w:drawing>
          <wp:anchor distT="0" distB="0" distL="0" distR="0" simplePos="0" relativeHeight="8" behindDoc="1" locked="0" layoutInCell="1" allowOverlap="1">
            <wp:simplePos x="0" y="0"/>
            <wp:positionH relativeFrom="page">
              <wp:posOffset>3350895</wp:posOffset>
            </wp:positionH>
            <wp:positionV relativeFrom="page">
              <wp:posOffset>488315</wp:posOffset>
            </wp:positionV>
            <wp:extent cx="579120" cy="882650"/>
            <wp:effectExtent l="0" t="0" r="0" b="0"/>
            <wp:wrapNone/>
            <wp:docPr id="7" name="Obrázek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77" t="-51" r="-77" b="-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" w:name="page4"/>
      <w:bookmarkEnd w:id="3"/>
    </w:p>
    <w:p w:rsidR="00BB63C6" w:rsidRDefault="00BB63C6">
      <w:pPr>
        <w:spacing w:line="200" w:lineRule="exact"/>
        <w:rPr>
          <w:rFonts w:ascii="Arial" w:eastAsia="Times New Roman" w:hAnsi="Arial" w:cs="Times New Roman"/>
        </w:rPr>
      </w:pPr>
    </w:p>
    <w:p w:rsidR="00BB63C6" w:rsidRDefault="00BB63C6">
      <w:pPr>
        <w:spacing w:line="200" w:lineRule="exact"/>
        <w:rPr>
          <w:rFonts w:ascii="Arial" w:eastAsia="Times New Roman" w:hAnsi="Arial" w:cs="Times New Roman"/>
        </w:rPr>
      </w:pPr>
    </w:p>
    <w:p w:rsidR="00BB63C6" w:rsidRDefault="00BB63C6">
      <w:pPr>
        <w:spacing w:line="200" w:lineRule="exact"/>
        <w:rPr>
          <w:rFonts w:ascii="Arial" w:eastAsia="Times New Roman" w:hAnsi="Arial" w:cs="Times New Roman"/>
        </w:rPr>
      </w:pPr>
    </w:p>
    <w:p w:rsidR="00BB63C6" w:rsidRDefault="00BB63C6">
      <w:pPr>
        <w:spacing w:line="200" w:lineRule="exact"/>
        <w:rPr>
          <w:rFonts w:ascii="Arial" w:eastAsia="Times New Roman" w:hAnsi="Arial" w:cs="Times New Roman"/>
        </w:rPr>
      </w:pPr>
    </w:p>
    <w:p w:rsidR="00BB63C6" w:rsidRDefault="00BB63C6">
      <w:pPr>
        <w:spacing w:line="200" w:lineRule="exact"/>
        <w:rPr>
          <w:rFonts w:ascii="Arial" w:eastAsia="Times New Roman" w:hAnsi="Arial" w:cs="Times New Roman"/>
        </w:rPr>
      </w:pPr>
    </w:p>
    <w:p w:rsidR="00BB63C6" w:rsidRDefault="00BB63C6">
      <w:pPr>
        <w:spacing w:line="200" w:lineRule="exact"/>
        <w:rPr>
          <w:rFonts w:ascii="Arial" w:eastAsia="Times New Roman" w:hAnsi="Arial" w:cs="Times New Roman"/>
        </w:rPr>
      </w:pPr>
    </w:p>
    <w:p w:rsidR="00BB63C6" w:rsidRDefault="00BB63C6">
      <w:pPr>
        <w:spacing w:line="324" w:lineRule="exact"/>
        <w:rPr>
          <w:rFonts w:ascii="Arial" w:eastAsia="Times New Roman" w:hAnsi="Arial" w:cs="Times New Roman"/>
        </w:rPr>
      </w:pPr>
    </w:p>
    <w:p w:rsidR="00BB63C6" w:rsidRDefault="006C4516">
      <w:pPr>
        <w:ind w:right="-4"/>
        <w:jc w:val="center"/>
        <w:rPr>
          <w:rFonts w:ascii="Arial" w:eastAsia="Arial" w:hAnsi="Arial"/>
          <w:b/>
          <w:color w:val="E30613"/>
          <w:sz w:val="34"/>
        </w:rPr>
      </w:pPr>
      <w:r>
        <w:rPr>
          <w:rFonts w:ascii="Arial" w:eastAsia="Arial" w:hAnsi="Arial"/>
          <w:b/>
          <w:color w:val="E30613"/>
          <w:sz w:val="34"/>
        </w:rPr>
        <w:t xml:space="preserve">Cena Zdravotní pojišťovny Ministerstva vnitra, cena </w:t>
      </w:r>
      <w:proofErr w:type="spellStart"/>
      <w:r>
        <w:rPr>
          <w:rFonts w:ascii="Arial" w:eastAsia="Arial" w:hAnsi="Arial"/>
          <w:b/>
          <w:color w:val="E30613"/>
          <w:sz w:val="34"/>
        </w:rPr>
        <w:t>Lorem</w:t>
      </w:r>
      <w:proofErr w:type="spellEnd"/>
    </w:p>
    <w:p w:rsidR="00BB63C6" w:rsidRDefault="00BB63C6">
      <w:pPr>
        <w:spacing w:line="230" w:lineRule="exact"/>
        <w:rPr>
          <w:rFonts w:ascii="Arial" w:eastAsia="Times New Roman" w:hAnsi="Arial" w:cs="Times New Roman"/>
          <w:b/>
          <w:color w:val="E30613"/>
          <w:sz w:val="34"/>
        </w:rPr>
      </w:pPr>
    </w:p>
    <w:p w:rsidR="00BB63C6" w:rsidRDefault="006C4516">
      <w:pPr>
        <w:spacing w:line="271" w:lineRule="auto"/>
        <w:ind w:left="5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Cena se uděluje za objev, či mimořádný počin z oblasti zdravotnictví, lékařské péče, farmacie a oborů zabývajících se lidským zdravím, či za původní léčebný postup, a to jak v základním, tak aplikovaném výzkumu.</w:t>
      </w:r>
    </w:p>
    <w:p w:rsidR="00BB63C6" w:rsidRDefault="00BB63C6">
      <w:pPr>
        <w:spacing w:line="200" w:lineRule="exact"/>
        <w:rPr>
          <w:rFonts w:ascii="Arial" w:eastAsia="Times New Roman" w:hAnsi="Arial" w:cs="Times New Roman"/>
          <w:b/>
        </w:rPr>
      </w:pPr>
    </w:p>
    <w:p w:rsidR="00BB63C6" w:rsidRDefault="00BB63C6">
      <w:pPr>
        <w:spacing w:line="231" w:lineRule="exact"/>
        <w:rPr>
          <w:rFonts w:ascii="Arial" w:eastAsia="Times New Roman" w:hAnsi="Arial" w:cs="Times New Roman"/>
        </w:rPr>
      </w:pPr>
    </w:p>
    <w:p w:rsidR="00BB63C6" w:rsidRDefault="006C4516">
      <w:pPr>
        <w:ind w:left="5"/>
        <w:rPr>
          <w:rFonts w:ascii="Arial" w:hAnsi="Arial"/>
        </w:rPr>
      </w:pPr>
      <w:r>
        <w:rPr>
          <w:rFonts w:ascii="Arial" w:eastAsia="Arial" w:hAnsi="Arial"/>
          <w:b/>
          <w:color w:val="E30613"/>
          <w:sz w:val="30"/>
        </w:rPr>
        <w:t>Laureát:</w:t>
      </w:r>
      <w:r>
        <w:rPr>
          <w:rFonts w:ascii="Arial" w:eastAsia="Arial" w:hAnsi="Arial"/>
          <w:b/>
          <w:color w:val="000000"/>
          <w:sz w:val="30"/>
        </w:rPr>
        <w:t xml:space="preserve"> prof. MUDr. Pavel </w:t>
      </w:r>
      <w:proofErr w:type="spellStart"/>
      <w:r>
        <w:rPr>
          <w:rFonts w:ascii="Arial" w:eastAsia="Arial" w:hAnsi="Arial"/>
          <w:b/>
          <w:color w:val="000000"/>
          <w:sz w:val="30"/>
        </w:rPr>
        <w:t>Osmančík</w:t>
      </w:r>
      <w:proofErr w:type="spellEnd"/>
      <w:r>
        <w:rPr>
          <w:rFonts w:ascii="Arial" w:eastAsia="Arial" w:hAnsi="Arial"/>
          <w:b/>
          <w:color w:val="000000"/>
          <w:sz w:val="30"/>
        </w:rPr>
        <w:t xml:space="preserve">, </w:t>
      </w:r>
      <w:proofErr w:type="spellStart"/>
      <w:r>
        <w:rPr>
          <w:rFonts w:ascii="Arial" w:eastAsia="Arial" w:hAnsi="Arial"/>
          <w:b/>
          <w:color w:val="000000"/>
          <w:sz w:val="30"/>
        </w:rPr>
        <w:t>Ph.D</w:t>
      </w:r>
      <w:proofErr w:type="spellEnd"/>
      <w:r>
        <w:rPr>
          <w:rFonts w:ascii="Arial" w:eastAsia="Arial" w:hAnsi="Arial"/>
          <w:b/>
          <w:color w:val="000000"/>
          <w:sz w:val="30"/>
        </w:rPr>
        <w:t>.</w:t>
      </w:r>
    </w:p>
    <w:p w:rsidR="00BB63C6" w:rsidRDefault="00BB63C6">
      <w:pPr>
        <w:spacing w:line="109" w:lineRule="exact"/>
        <w:rPr>
          <w:rFonts w:ascii="Arial" w:eastAsia="Times New Roman" w:hAnsi="Arial" w:cs="Times New Roman"/>
          <w:b/>
          <w:color w:val="000000"/>
          <w:sz w:val="30"/>
        </w:rPr>
      </w:pPr>
    </w:p>
    <w:p w:rsidR="00BB63C6" w:rsidRDefault="006C4516">
      <w:pPr>
        <w:ind w:left="1225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Studie PRAGUE-17</w:t>
      </w:r>
    </w:p>
    <w:p w:rsidR="00BB63C6" w:rsidRDefault="00BB63C6">
      <w:pPr>
        <w:spacing w:line="200" w:lineRule="exact"/>
        <w:rPr>
          <w:rFonts w:ascii="Arial" w:eastAsia="Times New Roman" w:hAnsi="Arial" w:cs="Times New Roman"/>
          <w:b/>
        </w:rPr>
      </w:pPr>
    </w:p>
    <w:p w:rsidR="00BB63C6" w:rsidRDefault="00BB63C6">
      <w:pPr>
        <w:spacing w:line="280" w:lineRule="exact"/>
        <w:rPr>
          <w:rFonts w:ascii="Arial" w:eastAsia="Times New Roman" w:hAnsi="Arial" w:cs="Times New Roman"/>
        </w:rPr>
      </w:pPr>
    </w:p>
    <w:p w:rsidR="00BB63C6" w:rsidRDefault="006C4516">
      <w:pPr>
        <w:ind w:left="5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Fibrilace síní srdce je onemocnění, které může mít fatální následky.</w:t>
      </w:r>
    </w:p>
    <w:p w:rsidR="00BB63C6" w:rsidRDefault="00BB63C6">
      <w:pPr>
        <w:spacing w:line="231" w:lineRule="exact"/>
        <w:rPr>
          <w:rFonts w:ascii="Arial" w:eastAsia="Times New Roman" w:hAnsi="Arial" w:cs="Times New Roman"/>
          <w:b/>
        </w:rPr>
      </w:pPr>
    </w:p>
    <w:p w:rsidR="00BB63C6" w:rsidRDefault="006C4516">
      <w:pPr>
        <w:ind w:left="5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Při fibrilaci síní síně mechanicky nepracují. To je důvodem možného vzniku trombu v tzv. oušku levé síně, který pokud se uvolní, </w:t>
      </w:r>
      <w:proofErr w:type="spellStart"/>
      <w:r>
        <w:rPr>
          <w:rFonts w:ascii="Arial" w:eastAsia="Arial" w:hAnsi="Arial"/>
        </w:rPr>
        <w:t>embolizuje</w:t>
      </w:r>
      <w:proofErr w:type="spellEnd"/>
      <w:r>
        <w:rPr>
          <w:rFonts w:ascii="Arial" w:eastAsia="Arial" w:hAnsi="Arial"/>
        </w:rPr>
        <w:t xml:space="preserve"> nejčastěji do tepen zásobujících mozek a je tak příčinou cévní mozkové příhody (CMP). Asi ¼ až 1/3 všech CMP je způsobena tímto mechanismem. Jelikož jsou tyto CMP zpravidla spojeny s těžším neurologickým deficitem, často vedou k doživotnímu upoutání na lůžko či těžkému funkčnímu omezení. Jako standardní metoda prevence vzniku trombu v oušku levé síně se používá dlouhodobá protisrážlivá léčba, v posledních cca 10 let moderními tzv. non-vitamin K antikoagulancii (</w:t>
      </w:r>
      <w:proofErr w:type="spellStart"/>
      <w:r>
        <w:rPr>
          <w:rFonts w:ascii="Arial" w:eastAsia="Arial" w:hAnsi="Arial"/>
        </w:rPr>
        <w:t>NOAKy</w:t>
      </w:r>
      <w:proofErr w:type="spellEnd"/>
      <w:r>
        <w:rPr>
          <w:rFonts w:ascii="Arial" w:eastAsia="Arial" w:hAnsi="Arial"/>
        </w:rPr>
        <w:t xml:space="preserve">). Ty jsou schopny snížit riziko vzniku trombu o asi 2/3, ovšem za cenu zvýšení rizika krvácení a i když riziko krvácení při léčbě </w:t>
      </w:r>
      <w:proofErr w:type="spellStart"/>
      <w:r>
        <w:rPr>
          <w:rFonts w:ascii="Arial" w:eastAsia="Arial" w:hAnsi="Arial"/>
        </w:rPr>
        <w:t>NOAKy</w:t>
      </w:r>
      <w:proofErr w:type="spellEnd"/>
      <w:r>
        <w:rPr>
          <w:rFonts w:ascii="Arial" w:eastAsia="Arial" w:hAnsi="Arial"/>
        </w:rPr>
        <w:t xml:space="preserve"> je menší než při léčbě starším </w:t>
      </w:r>
      <w:proofErr w:type="spellStart"/>
      <w:r>
        <w:rPr>
          <w:rFonts w:ascii="Arial" w:eastAsia="Arial" w:hAnsi="Arial"/>
        </w:rPr>
        <w:t>antikogulačním</w:t>
      </w:r>
      <w:proofErr w:type="spellEnd"/>
      <w:r>
        <w:rPr>
          <w:rFonts w:ascii="Arial" w:eastAsia="Arial" w:hAnsi="Arial"/>
        </w:rPr>
        <w:t xml:space="preserve"> preparátem </w:t>
      </w:r>
      <w:proofErr w:type="spellStart"/>
      <w:r>
        <w:rPr>
          <w:rFonts w:ascii="Arial" w:eastAsia="Arial" w:hAnsi="Arial"/>
        </w:rPr>
        <w:t>Warfarinem</w:t>
      </w:r>
      <w:proofErr w:type="spellEnd"/>
      <w:r>
        <w:rPr>
          <w:rFonts w:ascii="Arial" w:eastAsia="Arial" w:hAnsi="Arial"/>
        </w:rPr>
        <w:t xml:space="preserve">, stále existuje a pro toto riziko řada pacientů protisrážlivou léčbu užívat nemohou vůbec, nebo se ji z důvodu opakovaných krvácení užívat </w:t>
      </w:r>
      <w:proofErr w:type="gramStart"/>
      <w:r>
        <w:rPr>
          <w:rFonts w:ascii="Arial" w:eastAsia="Arial" w:hAnsi="Arial"/>
        </w:rPr>
        <w:t>bojí . Proto</w:t>
      </w:r>
      <w:proofErr w:type="gramEnd"/>
      <w:r>
        <w:rPr>
          <w:rFonts w:ascii="Arial" w:eastAsia="Arial" w:hAnsi="Arial"/>
        </w:rPr>
        <w:t xml:space="preserve"> byla vyvinuta lokálně účinná léčba spočívající v perkutánním katetrizačním uzávěru ouška levé síně (tzv. </w:t>
      </w:r>
      <w:proofErr w:type="spellStart"/>
      <w:r>
        <w:rPr>
          <w:rFonts w:ascii="Arial" w:eastAsia="Arial" w:hAnsi="Arial"/>
        </w:rPr>
        <w:t>okludérem</w:t>
      </w:r>
      <w:proofErr w:type="spellEnd"/>
      <w:r>
        <w:rPr>
          <w:rFonts w:ascii="Arial" w:eastAsia="Arial" w:hAnsi="Arial"/>
        </w:rPr>
        <w:t xml:space="preserve">), jehož smyslem je vyřadit ouško z cirkulace, tedy vyřadit místo, kde tromby vznikají, tím zabránit vzniku trombu ovšem bez nutnosti užívání dlouhodobé intenzivní antikoagulační léčby. Jak tedy fibrilaci léčit, podávat léky na ředění krve nebo zasáhnout </w:t>
      </w:r>
      <w:proofErr w:type="spellStart"/>
      <w:r>
        <w:rPr>
          <w:rFonts w:ascii="Arial" w:eastAsia="Arial" w:hAnsi="Arial"/>
        </w:rPr>
        <w:t>katetrem</w:t>
      </w:r>
      <w:proofErr w:type="spellEnd"/>
      <w:r>
        <w:rPr>
          <w:rFonts w:ascii="Arial" w:eastAsia="Arial" w:hAnsi="Arial"/>
        </w:rPr>
        <w:t xml:space="preserve"> přímo do srdce?</w:t>
      </w:r>
    </w:p>
    <w:p w:rsidR="00BB63C6" w:rsidRDefault="006C4516">
      <w:pPr>
        <w:ind w:left="5"/>
        <w:rPr>
          <w:rFonts w:ascii="Arial" w:eastAsia="Arial" w:hAnsi="Arial"/>
        </w:rPr>
      </w:pPr>
      <w:r>
        <w:rPr>
          <w:rFonts w:ascii="Arial" w:eastAsia="Arial" w:hAnsi="Arial"/>
        </w:rPr>
        <w:t xml:space="preserve">To byla základní otázka ojedinělé studie s názvem </w:t>
      </w:r>
      <w:proofErr w:type="spellStart"/>
      <w:r>
        <w:rPr>
          <w:rFonts w:ascii="Arial" w:eastAsia="Arial" w:hAnsi="Arial"/>
        </w:rPr>
        <w:t>Prague</w:t>
      </w:r>
      <w:proofErr w:type="spellEnd"/>
      <w:r>
        <w:rPr>
          <w:rFonts w:ascii="Arial" w:eastAsia="Arial" w:hAnsi="Arial"/>
        </w:rPr>
        <w:t xml:space="preserve">-17, kterou provedl prof. Pavel </w:t>
      </w:r>
      <w:proofErr w:type="spellStart"/>
      <w:r>
        <w:rPr>
          <w:rFonts w:ascii="Arial" w:eastAsia="Arial" w:hAnsi="Arial"/>
        </w:rPr>
        <w:t>Osmančík</w:t>
      </w:r>
      <w:proofErr w:type="spellEnd"/>
      <w:r>
        <w:rPr>
          <w:rFonts w:ascii="Arial" w:eastAsia="Arial" w:hAnsi="Arial"/>
        </w:rPr>
        <w:t>.</w:t>
      </w:r>
    </w:p>
    <w:p w:rsidR="00BB63C6" w:rsidRDefault="006C4516">
      <w:pPr>
        <w:spacing w:line="252" w:lineRule="auto"/>
        <w:ind w:left="5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Ve studii </w:t>
      </w:r>
      <w:proofErr w:type="spellStart"/>
      <w:r>
        <w:rPr>
          <w:rFonts w:ascii="Arial" w:eastAsia="Arial" w:hAnsi="Arial"/>
        </w:rPr>
        <w:t>Prague</w:t>
      </w:r>
      <w:proofErr w:type="spellEnd"/>
      <w:r>
        <w:rPr>
          <w:rFonts w:ascii="Arial" w:eastAsia="Arial" w:hAnsi="Arial"/>
        </w:rPr>
        <w:t>-17 byla na kohortě 402 pacientů s fibrilací síní porovnávána léčba NOAK s katetrizačním uzávěrem ouška levé síně a jak bylo během sledování o průměrné době 20 měsíců zjištěno, obě léčebné strategie byly srovnatelně účinné.</w:t>
      </w:r>
    </w:p>
    <w:p w:rsidR="00BB63C6" w:rsidRDefault="00BB63C6">
      <w:pPr>
        <w:spacing w:line="178" w:lineRule="exact"/>
        <w:rPr>
          <w:rFonts w:ascii="Arial" w:eastAsia="Times New Roman" w:hAnsi="Arial"/>
        </w:rPr>
      </w:pPr>
    </w:p>
    <w:p w:rsidR="00BB63C6" w:rsidRDefault="006C4516">
      <w:pPr>
        <w:pStyle w:val="Bezmezer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V čem spočívá význam studie? Do studie byli zařazováni a efekt metod tak ověřen na nejrizikovějších pacientech s fibrilací síní. V mnoha klinických studiích vidíme často snahu zařazovat jen méně rizikové pacienty, často z důvodu hladšího průběhu, menšího rizika komplikací apod., a výsledky poté extrapolovat na pacienty více rizikové. Studie </w:t>
      </w:r>
      <w:proofErr w:type="spellStart"/>
      <w:r>
        <w:rPr>
          <w:rFonts w:ascii="Arial" w:hAnsi="Arial" w:cs="Arial"/>
          <w:szCs w:val="20"/>
        </w:rPr>
        <w:t>Prague</w:t>
      </w:r>
      <w:proofErr w:type="spellEnd"/>
      <w:r>
        <w:rPr>
          <w:rFonts w:ascii="Arial" w:hAnsi="Arial" w:cs="Arial"/>
          <w:szCs w:val="20"/>
        </w:rPr>
        <w:t xml:space="preserve">-17 zařazovala pacienty velmi rizikové, dle rizikových charakteristik se jednalo o pacienty rizikovější, než byli pacienti všech dosud provedených </w:t>
      </w:r>
      <w:proofErr w:type="gramStart"/>
      <w:r>
        <w:rPr>
          <w:rFonts w:ascii="Arial" w:hAnsi="Arial" w:cs="Arial"/>
          <w:szCs w:val="20"/>
        </w:rPr>
        <w:t>studiích</w:t>
      </w:r>
      <w:proofErr w:type="gramEnd"/>
      <w:r>
        <w:rPr>
          <w:rFonts w:ascii="Arial" w:hAnsi="Arial" w:cs="Arial"/>
          <w:szCs w:val="20"/>
        </w:rPr>
        <w:t xml:space="preserve"> se staršími i novějšími </w:t>
      </w:r>
      <w:proofErr w:type="spellStart"/>
      <w:r>
        <w:rPr>
          <w:rFonts w:ascii="Arial" w:hAnsi="Arial" w:cs="Arial"/>
          <w:szCs w:val="20"/>
        </w:rPr>
        <w:t>antikogulačními</w:t>
      </w:r>
      <w:proofErr w:type="spellEnd"/>
      <w:r>
        <w:rPr>
          <w:rFonts w:ascii="Arial" w:hAnsi="Arial" w:cs="Arial"/>
          <w:szCs w:val="20"/>
        </w:rPr>
        <w:t xml:space="preserve"> preparáty! Hlavní význam studie byl však v tom, že se jednalo o první </w:t>
      </w:r>
      <w:proofErr w:type="spellStart"/>
      <w:r>
        <w:rPr>
          <w:rFonts w:ascii="Arial" w:hAnsi="Arial" w:cs="Arial"/>
          <w:szCs w:val="20"/>
        </w:rPr>
        <w:t>randomizovanou</w:t>
      </w:r>
      <w:proofErr w:type="spellEnd"/>
      <w:r>
        <w:rPr>
          <w:rFonts w:ascii="Arial" w:hAnsi="Arial" w:cs="Arial"/>
          <w:szCs w:val="20"/>
        </w:rPr>
        <w:t xml:space="preserve"> studii porovnávající léčbu NOAK s katetrizačním uzávěrem ouška. Katetrizační uzávěr ouška se prováděl již celé desetiletí před studií. Názory na něj se však v kardiologické obci velmi různily, má řadu protagonistů, kteří jej považují za elegantní metodu prevence před CMP bez nutnosti dlouhodobé intenzivní </w:t>
      </w:r>
      <w:proofErr w:type="spellStart"/>
      <w:r>
        <w:rPr>
          <w:rFonts w:ascii="Arial" w:hAnsi="Arial" w:cs="Arial"/>
          <w:szCs w:val="20"/>
        </w:rPr>
        <w:t>antikoagulace</w:t>
      </w:r>
      <w:proofErr w:type="spellEnd"/>
      <w:r>
        <w:rPr>
          <w:rFonts w:ascii="Arial" w:hAnsi="Arial" w:cs="Arial"/>
          <w:szCs w:val="20"/>
        </w:rPr>
        <w:t xml:space="preserve">, ovšem taktéž celou řadu antagonistů, kteří zdůrazňují jeho možná rizika a možnou nedostatečnou a především nevyzkoušenou účinnost. Zákrok byl tedy prováděn, ale důkazy o jeho efektivitě ve srovnání s </w:t>
      </w:r>
      <w:proofErr w:type="spellStart"/>
      <w:r>
        <w:rPr>
          <w:rFonts w:ascii="Arial" w:hAnsi="Arial" w:cs="Arial"/>
          <w:szCs w:val="20"/>
        </w:rPr>
        <w:t>NOAKy</w:t>
      </w:r>
      <w:proofErr w:type="spellEnd"/>
      <w:r>
        <w:rPr>
          <w:rFonts w:ascii="Arial" w:hAnsi="Arial" w:cs="Arial"/>
          <w:szCs w:val="20"/>
        </w:rPr>
        <w:t xml:space="preserve"> byly tak „na vodě“, lékaři nemohli vědět, jak účinnou metodu pacientovi vlastně nabízí. Žádná z firem vyrábějící </w:t>
      </w:r>
      <w:proofErr w:type="spellStart"/>
      <w:r>
        <w:rPr>
          <w:rFonts w:ascii="Arial" w:hAnsi="Arial" w:cs="Arial"/>
          <w:szCs w:val="20"/>
        </w:rPr>
        <w:t>okludéry</w:t>
      </w:r>
      <w:proofErr w:type="spellEnd"/>
      <w:r>
        <w:rPr>
          <w:rFonts w:ascii="Arial" w:hAnsi="Arial" w:cs="Arial"/>
          <w:szCs w:val="20"/>
        </w:rPr>
        <w:t xml:space="preserve"> pro katetrizační uzávěr či </w:t>
      </w:r>
      <w:proofErr w:type="spellStart"/>
      <w:r>
        <w:rPr>
          <w:rFonts w:ascii="Arial" w:hAnsi="Arial" w:cs="Arial"/>
          <w:szCs w:val="20"/>
        </w:rPr>
        <w:t>NOAKy</w:t>
      </w:r>
      <w:proofErr w:type="spellEnd"/>
      <w:r>
        <w:rPr>
          <w:rFonts w:ascii="Arial" w:hAnsi="Arial" w:cs="Arial"/>
          <w:szCs w:val="20"/>
        </w:rPr>
        <w:t xml:space="preserve"> neměla zájem, chuť a odvahu podobnou studii zorganizovat. Jak studie ukázala, katetrizační uzávěr sice stále má rizika, která se objevují u necelých 5 % pacientů, přesto je finální efekt obou metod podobný Studie nám tak poskytla důkazy, že pacientům, kteří jsou kontraindikováni k dlouhodobé antikoagulační léčbě, či jej z nějakého důvodu užívat nechtějí (nejčastěji z důvodu krvácení a strachu z dalších krvácení) můžeme nabídnout srovnatelně účinnou alternativu, a tím předejít nejvíc </w:t>
      </w:r>
      <w:proofErr w:type="spellStart"/>
      <w:r>
        <w:rPr>
          <w:rFonts w:ascii="Arial" w:hAnsi="Arial" w:cs="Arial"/>
          <w:szCs w:val="20"/>
        </w:rPr>
        <w:t>invalidizující</w:t>
      </w:r>
      <w:proofErr w:type="spellEnd"/>
      <w:r>
        <w:rPr>
          <w:rFonts w:ascii="Arial" w:hAnsi="Arial" w:cs="Arial"/>
          <w:szCs w:val="20"/>
        </w:rPr>
        <w:t xml:space="preserve"> komplikací fibrilace síní, tedy cévní mozkové příhodě.</w:t>
      </w:r>
    </w:p>
    <w:p w:rsidR="00BB63C6" w:rsidRDefault="00BB63C6">
      <w:pPr>
        <w:spacing w:line="200" w:lineRule="exact"/>
        <w:rPr>
          <w:rFonts w:ascii="Arial" w:eastAsia="Times New Roman" w:hAnsi="Arial"/>
        </w:rPr>
      </w:pPr>
      <w:bookmarkStart w:id="4" w:name="page5"/>
      <w:bookmarkEnd w:id="4"/>
    </w:p>
    <w:p w:rsidR="00BB63C6" w:rsidRDefault="00BB63C6">
      <w:pPr>
        <w:spacing w:line="200" w:lineRule="exact"/>
        <w:rPr>
          <w:rFonts w:ascii="Arial" w:eastAsia="Times New Roman" w:hAnsi="Arial"/>
        </w:rPr>
      </w:pPr>
    </w:p>
    <w:p w:rsidR="00BB63C6" w:rsidRDefault="00BB63C6">
      <w:pPr>
        <w:spacing w:line="200" w:lineRule="exact"/>
        <w:rPr>
          <w:rFonts w:ascii="Arial" w:eastAsia="Times New Roman" w:hAnsi="Arial"/>
        </w:rPr>
      </w:pPr>
    </w:p>
    <w:p w:rsidR="00BB63C6" w:rsidRDefault="00BB63C6">
      <w:pPr>
        <w:spacing w:line="200" w:lineRule="exact"/>
        <w:rPr>
          <w:rFonts w:ascii="Arial" w:eastAsia="Times New Roman" w:hAnsi="Arial"/>
        </w:rPr>
      </w:pPr>
    </w:p>
    <w:p w:rsidR="00BB63C6" w:rsidRDefault="00BB63C6">
      <w:pPr>
        <w:spacing w:line="200" w:lineRule="exact"/>
        <w:rPr>
          <w:rFonts w:ascii="Arial" w:eastAsia="Times New Roman" w:hAnsi="Arial" w:cs="Times New Roman"/>
        </w:rPr>
      </w:pPr>
    </w:p>
    <w:p w:rsidR="00BB63C6" w:rsidRDefault="00BB63C6">
      <w:pPr>
        <w:spacing w:line="200" w:lineRule="exact"/>
        <w:rPr>
          <w:rFonts w:ascii="Arial" w:eastAsia="Times New Roman" w:hAnsi="Arial" w:cs="Times New Roman"/>
        </w:rPr>
      </w:pPr>
    </w:p>
    <w:p w:rsidR="00BB63C6" w:rsidRDefault="00BB63C6">
      <w:pPr>
        <w:spacing w:line="200" w:lineRule="exact"/>
        <w:rPr>
          <w:rFonts w:ascii="Arial" w:eastAsia="Times New Roman" w:hAnsi="Arial" w:cs="Times New Roman"/>
        </w:rPr>
      </w:pPr>
    </w:p>
    <w:p w:rsidR="00BB63C6" w:rsidRDefault="00BB63C6">
      <w:pPr>
        <w:spacing w:line="324" w:lineRule="exact"/>
        <w:rPr>
          <w:rFonts w:ascii="Arial" w:eastAsia="Times New Roman" w:hAnsi="Arial" w:cs="Times New Roman"/>
        </w:rPr>
      </w:pPr>
    </w:p>
    <w:p w:rsidR="00BB63C6" w:rsidRDefault="006C4516">
      <w:pPr>
        <w:jc w:val="center"/>
        <w:rPr>
          <w:rFonts w:ascii="Arial" w:eastAsia="Arial" w:hAnsi="Arial"/>
          <w:b/>
          <w:color w:val="E30613"/>
          <w:sz w:val="34"/>
        </w:rPr>
      </w:pPr>
      <w:r>
        <w:rPr>
          <w:rFonts w:ascii="Arial" w:eastAsia="Arial" w:hAnsi="Arial"/>
          <w:b/>
          <w:noProof/>
          <w:color w:val="E30613"/>
          <w:sz w:val="34"/>
          <w:lang w:eastAsia="cs-CZ" w:bidi="ar-SA"/>
        </w:rPr>
        <w:lastRenderedPageBreak/>
        <w:drawing>
          <wp:anchor distT="0" distB="0" distL="0" distR="0" simplePos="0" relativeHeight="11" behindDoc="1" locked="0" layoutInCell="1" allowOverlap="1">
            <wp:simplePos x="0" y="0"/>
            <wp:positionH relativeFrom="page">
              <wp:posOffset>3350895</wp:posOffset>
            </wp:positionH>
            <wp:positionV relativeFrom="page">
              <wp:posOffset>488315</wp:posOffset>
            </wp:positionV>
            <wp:extent cx="579120" cy="882650"/>
            <wp:effectExtent l="0" t="0" r="0" b="0"/>
            <wp:wrapNone/>
            <wp:docPr id="8" name="Obrázek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77" t="-51" r="-77" b="-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63C6" w:rsidRDefault="00BB63C6">
      <w:pPr>
        <w:jc w:val="center"/>
        <w:rPr>
          <w:rFonts w:ascii="Arial" w:eastAsia="Arial" w:hAnsi="Arial"/>
          <w:b/>
          <w:color w:val="E30613"/>
          <w:sz w:val="34"/>
        </w:rPr>
      </w:pPr>
    </w:p>
    <w:p w:rsidR="00BB63C6" w:rsidRDefault="006C4516">
      <w:pPr>
        <w:jc w:val="center"/>
        <w:rPr>
          <w:color w:val="000000"/>
        </w:rPr>
      </w:pPr>
      <w:r>
        <w:rPr>
          <w:rFonts w:ascii="Arial" w:eastAsia="Arial" w:hAnsi="Arial"/>
          <w:b/>
          <w:color w:val="000000"/>
          <w:sz w:val="34"/>
        </w:rPr>
        <w:t>Česká hlava</w:t>
      </w:r>
    </w:p>
    <w:p w:rsidR="00BB63C6" w:rsidRDefault="00BB63C6">
      <w:pPr>
        <w:jc w:val="center"/>
        <w:rPr>
          <w:rFonts w:ascii="Arial" w:eastAsia="Arial" w:hAnsi="Arial"/>
          <w:b/>
          <w:color w:val="E30613"/>
          <w:sz w:val="34"/>
        </w:rPr>
      </w:pPr>
    </w:p>
    <w:p w:rsidR="00BB63C6" w:rsidRDefault="00BB63C6">
      <w:pPr>
        <w:jc w:val="center"/>
        <w:rPr>
          <w:rFonts w:ascii="Arial" w:eastAsia="Arial" w:hAnsi="Arial"/>
          <w:b/>
          <w:color w:val="E30613"/>
          <w:sz w:val="34"/>
        </w:rPr>
      </w:pPr>
    </w:p>
    <w:p w:rsidR="00BB63C6" w:rsidRDefault="006C4516">
      <w:pPr>
        <w:jc w:val="center"/>
        <w:rPr>
          <w:rFonts w:ascii="Arial" w:eastAsia="Arial" w:hAnsi="Arial"/>
          <w:b/>
          <w:color w:val="E30613"/>
          <w:sz w:val="34"/>
        </w:rPr>
      </w:pPr>
      <w:r>
        <w:rPr>
          <w:rFonts w:ascii="Arial" w:eastAsia="Arial" w:hAnsi="Arial"/>
          <w:b/>
          <w:color w:val="E30613"/>
          <w:sz w:val="34"/>
        </w:rPr>
        <w:t>Cena Ministerstva průmyslu a obchodu, cena Industrie</w:t>
      </w:r>
    </w:p>
    <w:p w:rsidR="00BB63C6" w:rsidRDefault="00BB63C6">
      <w:pPr>
        <w:spacing w:line="230" w:lineRule="exact"/>
        <w:rPr>
          <w:rFonts w:ascii="Arial" w:eastAsia="Times New Roman" w:hAnsi="Arial" w:cs="Times New Roman"/>
          <w:b/>
          <w:color w:val="E30613"/>
          <w:sz w:val="34"/>
        </w:rPr>
      </w:pPr>
    </w:p>
    <w:p w:rsidR="00BB63C6" w:rsidRDefault="006C4516">
      <w:pPr>
        <w:spacing w:line="348" w:lineRule="auto"/>
        <w:ind w:right="20"/>
        <w:jc w:val="both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pacing w:val="-8"/>
        </w:rPr>
        <w:t>Cena se uděluje za nejvýznamnější výrobkovou nebo technologickou inovaci, která vznikla na území České republiky v posledních několika letech na základě vlastního výzkumu či ve spolupráci s výzkumnou organizací.</w:t>
      </w:r>
    </w:p>
    <w:p w:rsidR="00BB63C6" w:rsidRDefault="00BB63C6">
      <w:pPr>
        <w:spacing w:line="361" w:lineRule="exact"/>
        <w:rPr>
          <w:rFonts w:ascii="Arial" w:eastAsia="Times New Roman" w:hAnsi="Arial" w:cs="Times New Roman"/>
          <w:b/>
          <w:sz w:val="18"/>
        </w:rPr>
      </w:pPr>
    </w:p>
    <w:p w:rsidR="00BB63C6" w:rsidRDefault="006C4516">
      <w:pPr>
        <w:rPr>
          <w:rFonts w:ascii="Arial" w:hAnsi="Arial"/>
        </w:rPr>
      </w:pPr>
      <w:r>
        <w:rPr>
          <w:rFonts w:ascii="Arial" w:eastAsia="Arial" w:hAnsi="Arial"/>
          <w:b/>
          <w:color w:val="E30613"/>
          <w:sz w:val="30"/>
        </w:rPr>
        <w:t>Laureát:</w:t>
      </w:r>
      <w:r w:rsidR="00B36F3A">
        <w:rPr>
          <w:rFonts w:ascii="Arial" w:eastAsia="Arial" w:hAnsi="Arial"/>
          <w:b/>
          <w:color w:val="E30613"/>
          <w:sz w:val="30"/>
        </w:rPr>
        <w:t xml:space="preserve"> </w:t>
      </w:r>
      <w:proofErr w:type="spellStart"/>
      <w:r w:rsidR="00B36F3A">
        <w:rPr>
          <w:rFonts w:ascii="Arial" w:eastAsia="Arial" w:hAnsi="Arial"/>
          <w:b/>
          <w:color w:val="000000"/>
          <w:sz w:val="30"/>
        </w:rPr>
        <w:t>FINAL</w:t>
      </w:r>
      <w:r>
        <w:rPr>
          <w:rFonts w:ascii="Arial" w:eastAsia="Arial" w:hAnsi="Arial"/>
          <w:b/>
          <w:color w:val="000000"/>
          <w:sz w:val="30"/>
        </w:rPr>
        <w:t>Tools</w:t>
      </w:r>
      <w:proofErr w:type="spellEnd"/>
      <w:r>
        <w:rPr>
          <w:rFonts w:ascii="Arial" w:eastAsia="Arial" w:hAnsi="Arial"/>
          <w:b/>
          <w:color w:val="000000"/>
          <w:sz w:val="30"/>
        </w:rPr>
        <w:t xml:space="preserve"> a.s.</w:t>
      </w:r>
    </w:p>
    <w:p w:rsidR="00BB63C6" w:rsidRDefault="00BB63C6">
      <w:pPr>
        <w:spacing w:line="109" w:lineRule="exact"/>
        <w:rPr>
          <w:rFonts w:ascii="Arial" w:eastAsia="Times New Roman" w:hAnsi="Arial" w:cs="Times New Roman"/>
          <w:b/>
          <w:color w:val="000000"/>
          <w:sz w:val="30"/>
        </w:rPr>
      </w:pPr>
    </w:p>
    <w:p w:rsidR="00BB63C6" w:rsidRDefault="006C4516">
      <w:pPr>
        <w:ind w:left="116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Soubor nástrojů a technologií pro obrábění velmi přesných děr</w:t>
      </w:r>
    </w:p>
    <w:p w:rsidR="00BB63C6" w:rsidRDefault="00BB63C6">
      <w:pPr>
        <w:spacing w:line="200" w:lineRule="exact"/>
        <w:rPr>
          <w:rFonts w:ascii="Arial" w:eastAsia="Times New Roman" w:hAnsi="Arial" w:cs="Times New Roman"/>
          <w:b/>
        </w:rPr>
      </w:pPr>
    </w:p>
    <w:p w:rsidR="00BB63C6" w:rsidRDefault="00BB63C6">
      <w:pPr>
        <w:spacing w:line="291" w:lineRule="exact"/>
        <w:rPr>
          <w:rFonts w:ascii="Arial" w:eastAsia="Arial" w:hAnsi="Arial"/>
        </w:rPr>
      </w:pPr>
    </w:p>
    <w:p w:rsidR="00BB63C6" w:rsidRDefault="006C4516">
      <w:pPr>
        <w:pStyle w:val="Defaul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Udělat díru do železa nebo jiného materiálu se zdá jako záležitost velice prostá až do chvíle, kdy někdo potřebuje, aby díra byla vyrobena s přesností rozměru a polohy max. do dvou desítek mikrometrů. Pak už to není tak jednoduché a je jen málo firem na světě, které vyrábí a zavádí do praxe takové nástroje. </w:t>
      </w:r>
    </w:p>
    <w:p w:rsidR="00BB63C6" w:rsidRDefault="006C4516">
      <w:pPr>
        <w:jc w:val="both"/>
        <w:rPr>
          <w:rFonts w:ascii="Arial" w:eastAsia="Arial" w:hAnsi="Arial"/>
          <w:spacing w:val="-6"/>
        </w:rPr>
      </w:pPr>
      <w:r>
        <w:rPr>
          <w:rFonts w:ascii="Arial" w:hAnsi="Arial"/>
        </w:rPr>
        <w:t xml:space="preserve">FINAL </w:t>
      </w:r>
      <w:proofErr w:type="spellStart"/>
      <w:r>
        <w:rPr>
          <w:rFonts w:ascii="Arial" w:hAnsi="Arial"/>
        </w:rPr>
        <w:t>Tools</w:t>
      </w:r>
      <w:proofErr w:type="spellEnd"/>
      <w:r>
        <w:rPr>
          <w:rFonts w:ascii="Arial" w:hAnsi="Arial"/>
        </w:rPr>
        <w:t xml:space="preserve"> a.s. vlastním vývojem a dlouhodobým testováním nástrojů FINAL  ve spolupráci s českými vysokými školami zavedl celou řadu nástrojů a technologií pro obrábění velmi přesných děr do velkosériových výrob. Vyvinuté technologie i nástroje jsou mezinárodně patentované. Ročně vyrobí více než 50 000 speciálních nástrojů pro české ale i velké zahraniční firmy – ŠKODA </w:t>
      </w:r>
      <w:proofErr w:type="gramStart"/>
      <w:r>
        <w:rPr>
          <w:rFonts w:ascii="Arial" w:hAnsi="Arial"/>
        </w:rPr>
        <w:t>AUTO,  BOSCH</w:t>
      </w:r>
      <w:proofErr w:type="gramEnd"/>
      <w:r>
        <w:rPr>
          <w:rFonts w:ascii="Arial" w:hAnsi="Arial"/>
        </w:rPr>
        <w:t>, DANFOSS, POCLAIN, VOLKSWAGEN a další. Přímo i nepřímo vyváží své výrobky do Švýcarska, Německa, Francie, Itálie, ale také do Indie nebo USA.</w:t>
      </w:r>
    </w:p>
    <w:p w:rsidR="00BB63C6" w:rsidRDefault="00BB63C6">
      <w:pPr>
        <w:spacing w:line="200" w:lineRule="exact"/>
        <w:rPr>
          <w:rFonts w:ascii="Arial" w:eastAsia="Times New Roman" w:hAnsi="Arial" w:cs="Times New Roman"/>
          <w:sz w:val="19"/>
        </w:rPr>
      </w:pPr>
    </w:p>
    <w:p w:rsidR="00BB63C6" w:rsidRDefault="00BB63C6">
      <w:pPr>
        <w:spacing w:line="200" w:lineRule="exact"/>
        <w:rPr>
          <w:rFonts w:ascii="Arial" w:eastAsia="Times New Roman" w:hAnsi="Arial" w:cs="Times New Roman"/>
        </w:rPr>
      </w:pPr>
    </w:p>
    <w:p w:rsidR="00BB63C6" w:rsidRDefault="00BB63C6">
      <w:pPr>
        <w:spacing w:line="286" w:lineRule="exact"/>
        <w:rPr>
          <w:rFonts w:ascii="Arial" w:eastAsia="Times New Roman" w:hAnsi="Arial" w:cs="Times New Roman"/>
        </w:rPr>
      </w:pPr>
    </w:p>
    <w:p w:rsidR="00BB63C6" w:rsidRDefault="006C4516">
      <w:pPr>
        <w:jc w:val="center"/>
        <w:rPr>
          <w:rFonts w:ascii="Arial" w:eastAsia="Arial" w:hAnsi="Arial"/>
          <w:b/>
          <w:color w:val="E30613"/>
          <w:sz w:val="34"/>
        </w:rPr>
      </w:pPr>
      <w:r>
        <w:rPr>
          <w:rFonts w:ascii="Arial" w:eastAsia="Arial" w:hAnsi="Arial"/>
          <w:b/>
          <w:color w:val="E30613"/>
          <w:sz w:val="34"/>
        </w:rPr>
        <w:t xml:space="preserve">Cena </w:t>
      </w:r>
      <w:proofErr w:type="spellStart"/>
      <w:r>
        <w:rPr>
          <w:rFonts w:ascii="Arial" w:eastAsia="Arial" w:hAnsi="Arial"/>
          <w:b/>
          <w:color w:val="E30613"/>
          <w:sz w:val="34"/>
        </w:rPr>
        <w:t>Doctorandus</w:t>
      </w:r>
      <w:proofErr w:type="spellEnd"/>
      <w:r>
        <w:rPr>
          <w:rFonts w:ascii="Arial" w:eastAsia="Arial" w:hAnsi="Arial"/>
          <w:b/>
          <w:color w:val="E30613"/>
          <w:sz w:val="34"/>
        </w:rPr>
        <w:t xml:space="preserve"> za technické vědy</w:t>
      </w:r>
    </w:p>
    <w:p w:rsidR="00BB63C6" w:rsidRDefault="00BB63C6">
      <w:pPr>
        <w:spacing w:line="230" w:lineRule="exact"/>
        <w:rPr>
          <w:rFonts w:ascii="Arial" w:eastAsia="Times New Roman" w:hAnsi="Arial" w:cs="Times New Roman"/>
          <w:b/>
          <w:color w:val="E30613"/>
          <w:sz w:val="34"/>
        </w:rPr>
      </w:pPr>
    </w:p>
    <w:p w:rsidR="00BB63C6" w:rsidRDefault="006C4516">
      <w:pPr>
        <w:spacing w:line="271" w:lineRule="auto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Cena se uděluje za inovativní přístup, nejvýraznější počin, odbornou nebo vědeckou činnost studenta doktorského studijního programu, především v oblasti inženýrství, biotechnologie, systémového inženýrství a kybernetiky s přihlédnutím k perspektivám jeho využitelnosti v praxi.</w:t>
      </w:r>
    </w:p>
    <w:p w:rsidR="00BB63C6" w:rsidRDefault="00BB63C6">
      <w:pPr>
        <w:spacing w:line="200" w:lineRule="exact"/>
        <w:rPr>
          <w:rFonts w:ascii="Arial" w:eastAsia="Times New Roman" w:hAnsi="Arial" w:cs="Times New Roman"/>
          <w:b/>
        </w:rPr>
      </w:pPr>
    </w:p>
    <w:p w:rsidR="00BB63C6" w:rsidRDefault="00BB63C6">
      <w:pPr>
        <w:spacing w:line="231" w:lineRule="exact"/>
        <w:rPr>
          <w:rFonts w:ascii="Arial" w:eastAsia="Times New Roman" w:hAnsi="Arial" w:cs="Times New Roman"/>
        </w:rPr>
      </w:pPr>
    </w:p>
    <w:p w:rsidR="00BB63C6" w:rsidRDefault="006C4516">
      <w:pPr>
        <w:rPr>
          <w:rFonts w:ascii="Arial" w:hAnsi="Arial"/>
        </w:rPr>
      </w:pPr>
      <w:r>
        <w:rPr>
          <w:rFonts w:ascii="Arial" w:eastAsia="Arial" w:hAnsi="Arial"/>
          <w:b/>
          <w:color w:val="E30613"/>
          <w:sz w:val="30"/>
        </w:rPr>
        <w:t>Laureát:</w:t>
      </w:r>
      <w:r>
        <w:rPr>
          <w:rFonts w:ascii="Arial" w:eastAsia="Arial" w:hAnsi="Arial"/>
          <w:b/>
          <w:color w:val="000000"/>
          <w:sz w:val="30"/>
        </w:rPr>
        <w:t xml:space="preserve"> </w:t>
      </w:r>
      <w:proofErr w:type="spellStart"/>
      <w:r>
        <w:rPr>
          <w:rFonts w:ascii="Arial" w:eastAsia="Arial" w:hAnsi="Arial"/>
          <w:b/>
          <w:color w:val="000000"/>
          <w:sz w:val="30"/>
        </w:rPr>
        <w:t>PharmDr</w:t>
      </w:r>
      <w:proofErr w:type="spellEnd"/>
      <w:r>
        <w:rPr>
          <w:rFonts w:ascii="Arial" w:eastAsia="Arial" w:hAnsi="Arial"/>
          <w:b/>
          <w:color w:val="000000"/>
          <w:sz w:val="30"/>
        </w:rPr>
        <w:t xml:space="preserve">. Martina Háková, </w:t>
      </w:r>
      <w:proofErr w:type="spellStart"/>
      <w:r>
        <w:rPr>
          <w:rFonts w:ascii="Arial" w:eastAsia="Arial" w:hAnsi="Arial"/>
          <w:b/>
          <w:color w:val="000000"/>
          <w:sz w:val="30"/>
        </w:rPr>
        <w:t>Ph.D</w:t>
      </w:r>
      <w:proofErr w:type="spellEnd"/>
      <w:r>
        <w:rPr>
          <w:rFonts w:ascii="Arial" w:eastAsia="Arial" w:hAnsi="Arial"/>
          <w:b/>
          <w:color w:val="000000"/>
          <w:sz w:val="30"/>
        </w:rPr>
        <w:t>.</w:t>
      </w:r>
    </w:p>
    <w:p w:rsidR="00BB63C6" w:rsidRDefault="00BB63C6">
      <w:pPr>
        <w:spacing w:line="109" w:lineRule="exact"/>
        <w:rPr>
          <w:rFonts w:ascii="Arial" w:eastAsia="Times New Roman" w:hAnsi="Arial" w:cs="Times New Roman"/>
          <w:b/>
          <w:color w:val="000000"/>
          <w:sz w:val="30"/>
        </w:rPr>
      </w:pPr>
    </w:p>
    <w:p w:rsidR="00BB63C6" w:rsidRDefault="006C4516">
      <w:pPr>
        <w:ind w:left="116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  </w:t>
      </w:r>
      <w:proofErr w:type="spellStart"/>
      <w:r>
        <w:rPr>
          <w:rFonts w:ascii="Arial" w:eastAsia="Arial" w:hAnsi="Arial"/>
          <w:b/>
        </w:rPr>
        <w:t>Nanovlákenné</w:t>
      </w:r>
      <w:proofErr w:type="spellEnd"/>
      <w:r>
        <w:rPr>
          <w:rFonts w:ascii="Arial" w:eastAsia="Arial" w:hAnsi="Arial"/>
          <w:b/>
        </w:rPr>
        <w:t xml:space="preserve"> polymery</w:t>
      </w:r>
    </w:p>
    <w:p w:rsidR="00BB63C6" w:rsidRDefault="00BB63C6">
      <w:pPr>
        <w:spacing w:line="200" w:lineRule="exact"/>
        <w:rPr>
          <w:rFonts w:ascii="Arial" w:eastAsia="Times New Roman" w:hAnsi="Arial" w:cs="Times New Roman"/>
          <w:b/>
        </w:rPr>
      </w:pPr>
    </w:p>
    <w:p w:rsidR="00BB63C6" w:rsidRDefault="00BB63C6">
      <w:pPr>
        <w:spacing w:line="281" w:lineRule="exact"/>
        <w:rPr>
          <w:rFonts w:ascii="Arial" w:eastAsia="Times New Roman" w:hAnsi="Arial" w:cs="Times New Roman"/>
        </w:rPr>
      </w:pPr>
    </w:p>
    <w:p w:rsidR="00BB63C6" w:rsidRDefault="006C4516">
      <w:pPr>
        <w:jc w:val="both"/>
        <w:rPr>
          <w:rFonts w:ascii="Arial" w:eastAsia="Arial" w:hAnsi="Arial"/>
        </w:rPr>
      </w:pPr>
      <w:proofErr w:type="gramStart"/>
      <w:r>
        <w:rPr>
          <w:rFonts w:ascii="Arial" w:eastAsia="Arial" w:hAnsi="Arial"/>
          <w:spacing w:val="-8"/>
        </w:rPr>
        <w:t>Vzhledem k skutečnosti</w:t>
      </w:r>
      <w:proofErr w:type="gramEnd"/>
      <w:r>
        <w:rPr>
          <w:rFonts w:ascii="Arial" w:eastAsia="Arial" w:hAnsi="Arial"/>
          <w:spacing w:val="-8"/>
        </w:rPr>
        <w:t xml:space="preserve">, že Česká republika díky Technické Univerzitě v Liberci (TUL) patří mezi světovou špičku ve výrobě </w:t>
      </w:r>
      <w:proofErr w:type="spellStart"/>
      <w:r>
        <w:rPr>
          <w:rFonts w:ascii="Arial" w:eastAsia="Arial" w:hAnsi="Arial"/>
          <w:spacing w:val="-8"/>
        </w:rPr>
        <w:t>nanovláken</w:t>
      </w:r>
      <w:proofErr w:type="spellEnd"/>
      <w:r>
        <w:rPr>
          <w:rFonts w:ascii="Arial" w:eastAsia="Arial" w:hAnsi="Arial"/>
          <w:spacing w:val="-8"/>
        </w:rPr>
        <w:t xml:space="preserve">, bylo jen otázkou času, kdo se chopí příležitosti a takzvaně prošlape cestičku v dosud neprobádané oblasti, jako je využití </w:t>
      </w:r>
      <w:proofErr w:type="spellStart"/>
      <w:r>
        <w:rPr>
          <w:rFonts w:ascii="Arial" w:eastAsia="Arial" w:hAnsi="Arial"/>
          <w:spacing w:val="-8"/>
        </w:rPr>
        <w:t>nanovlákenných</w:t>
      </w:r>
      <w:proofErr w:type="spellEnd"/>
      <w:r>
        <w:rPr>
          <w:rFonts w:ascii="Arial" w:eastAsia="Arial" w:hAnsi="Arial"/>
          <w:spacing w:val="-8"/>
        </w:rPr>
        <w:t xml:space="preserve"> materiálů v analytické chemii. Tohoto úkolu se zhostila </w:t>
      </w:r>
      <w:proofErr w:type="spellStart"/>
      <w:r>
        <w:rPr>
          <w:rFonts w:ascii="Arial" w:eastAsia="Arial" w:hAnsi="Arial"/>
          <w:spacing w:val="-8"/>
        </w:rPr>
        <w:t>PharmDr</w:t>
      </w:r>
      <w:proofErr w:type="spellEnd"/>
      <w:r>
        <w:rPr>
          <w:rFonts w:ascii="Arial" w:eastAsia="Arial" w:hAnsi="Arial"/>
          <w:spacing w:val="-8"/>
        </w:rPr>
        <w:t xml:space="preserve">. Martina Háková, </w:t>
      </w:r>
      <w:proofErr w:type="spellStart"/>
      <w:proofErr w:type="gramStart"/>
      <w:r>
        <w:rPr>
          <w:rFonts w:ascii="Arial" w:eastAsia="Arial" w:hAnsi="Arial"/>
          <w:spacing w:val="-8"/>
        </w:rPr>
        <w:t>Ph.D</w:t>
      </w:r>
      <w:proofErr w:type="spellEnd"/>
      <w:r>
        <w:rPr>
          <w:rFonts w:ascii="Arial" w:eastAsia="Arial" w:hAnsi="Arial"/>
          <w:spacing w:val="-8"/>
        </w:rPr>
        <w:t>..</w:t>
      </w:r>
      <w:proofErr w:type="gramEnd"/>
      <w:r>
        <w:rPr>
          <w:rFonts w:ascii="Arial" w:eastAsia="Arial" w:hAnsi="Arial"/>
          <w:spacing w:val="-8"/>
        </w:rPr>
        <w:t xml:space="preserve"> Ta v roce 2015 začala své doktorské studium zaměřené na problematiku využití </w:t>
      </w:r>
      <w:proofErr w:type="spellStart"/>
      <w:r>
        <w:rPr>
          <w:rFonts w:ascii="Arial" w:eastAsia="Arial" w:hAnsi="Arial"/>
          <w:spacing w:val="-8"/>
        </w:rPr>
        <w:t>nanovláken</w:t>
      </w:r>
      <w:proofErr w:type="spellEnd"/>
      <w:r>
        <w:rPr>
          <w:rFonts w:ascii="Arial" w:eastAsia="Arial" w:hAnsi="Arial"/>
          <w:spacing w:val="-8"/>
        </w:rPr>
        <w:t xml:space="preserve"> na Univerzitě Karlově, Farmaceutické fakultě v Hradci Králové a rozhodla se tak úzce propojit specifický výzkum obou pracovišť.</w:t>
      </w:r>
    </w:p>
    <w:p w:rsidR="00BB63C6" w:rsidRDefault="00BB63C6">
      <w:pPr>
        <w:spacing w:line="130" w:lineRule="exact"/>
        <w:rPr>
          <w:rFonts w:ascii="Arial" w:eastAsia="Times New Roman" w:hAnsi="Arial" w:cs="Times New Roman"/>
          <w:spacing w:val="-4"/>
        </w:rPr>
      </w:pPr>
    </w:p>
    <w:p w:rsidR="00BB63C6" w:rsidRDefault="006C4516">
      <w:pPr>
        <w:spacing w:line="252" w:lineRule="auto"/>
        <w:jc w:val="both"/>
        <w:rPr>
          <w:rFonts w:ascii="Arial" w:eastAsia="Arial" w:hAnsi="Arial"/>
          <w:sz w:val="19"/>
        </w:rPr>
      </w:pPr>
      <w:r>
        <w:rPr>
          <w:rFonts w:ascii="Arial" w:eastAsia="Arial" w:hAnsi="Arial"/>
          <w:spacing w:val="-4"/>
        </w:rPr>
        <w:t xml:space="preserve">Hledání nových materiálů ve spojení s moderními analytickými technikami je jedním ze směrů základního výzkumu v kontrolně analytických laboratořích, který je velmi důležitý. Výsledky z této oblasti vedou k výrazné úspoře času laboratorních postupů, snížení náročnosti na provedení analýz a následně i ke snížení finanční nákladnosti. Díky tomu jsou pak kontrolně-analytické laboratoře schopné nabízet rychlé spolehlivé a levné testování v různých oblastech výzkumu a v běžné praxi. Kompletní rozbory pitné vody, stanovení přítomnosti pesticidů v půdě nebo identifikace toxinů v potravinách? To jsou velmi důležité laboratorní analytické techniky, které jsou nezbytnou součástí mnoha oborů, od ochrany životního prostředí po farmacii. Kvalita těchto analytických technik je spjata s použitím speciálních materiálů primárně určených k záchytu látek a přečištění kontaminovaných vzorků tzv. sorbentů. Vědecká práce Martiny Hákové spočívala ve velmi inovativní myšlence využití </w:t>
      </w:r>
      <w:proofErr w:type="spellStart"/>
      <w:r>
        <w:rPr>
          <w:rFonts w:ascii="Arial" w:eastAsia="Arial" w:hAnsi="Arial"/>
          <w:spacing w:val="-4"/>
        </w:rPr>
        <w:t>nanovláken</w:t>
      </w:r>
      <w:proofErr w:type="spellEnd"/>
      <w:r>
        <w:rPr>
          <w:rFonts w:ascii="Arial" w:eastAsia="Arial" w:hAnsi="Arial"/>
          <w:spacing w:val="-4"/>
        </w:rPr>
        <w:t xml:space="preserve"> pro tvorbu sorbentů s velmi unikátními vlastnostmi, které tato téměř česká specialita přináší. </w:t>
      </w:r>
      <w:proofErr w:type="spellStart"/>
      <w:r>
        <w:rPr>
          <w:rFonts w:ascii="Arial" w:eastAsia="Arial" w:hAnsi="Arial"/>
          <w:spacing w:val="-4"/>
        </w:rPr>
        <w:t>Nanovlákenné</w:t>
      </w:r>
      <w:proofErr w:type="spellEnd"/>
      <w:r>
        <w:rPr>
          <w:rFonts w:ascii="Arial" w:eastAsia="Arial" w:hAnsi="Arial"/>
          <w:spacing w:val="-4"/>
        </w:rPr>
        <w:t xml:space="preserve"> sorbenty měly zefektivňovat testování a odstraňovat některé nevýhody komerčně dostupných sorbentů.</w:t>
      </w:r>
    </w:p>
    <w:p w:rsidR="00BB63C6" w:rsidRDefault="00BB63C6">
      <w:pPr>
        <w:spacing w:line="127" w:lineRule="exact"/>
        <w:rPr>
          <w:rFonts w:ascii="Arial" w:eastAsia="Times New Roman" w:hAnsi="Arial" w:cs="Times New Roman"/>
          <w:spacing w:val="-4"/>
        </w:rPr>
      </w:pPr>
    </w:p>
    <w:p w:rsidR="00BB63C6" w:rsidRDefault="006C4516">
      <w:pPr>
        <w:spacing w:line="276" w:lineRule="auto"/>
        <w:jc w:val="both"/>
        <w:rPr>
          <w:rFonts w:ascii="Arial" w:eastAsia="Arial" w:hAnsi="Arial"/>
          <w:sz w:val="19"/>
        </w:rPr>
        <w:sectPr w:rsidR="00BB63C6">
          <w:pgSz w:w="11906" w:h="16838"/>
          <w:pgMar w:top="1440" w:right="1026" w:bottom="0" w:left="1040" w:header="0" w:footer="0" w:gutter="0"/>
          <w:cols w:space="708"/>
          <w:formProt w:val="0"/>
          <w:docGrid w:linePitch="360"/>
        </w:sectPr>
      </w:pPr>
      <w:r>
        <w:rPr>
          <w:rFonts w:ascii="Arial" w:eastAsia="Arial" w:hAnsi="Arial"/>
          <w:spacing w:val="-4"/>
        </w:rPr>
        <w:t xml:space="preserve">Dr. Háková jako jedna z prvních kompletně popsala možnosti využití </w:t>
      </w:r>
      <w:proofErr w:type="spellStart"/>
      <w:r>
        <w:rPr>
          <w:rFonts w:ascii="Arial" w:eastAsia="Arial" w:hAnsi="Arial"/>
          <w:spacing w:val="-4"/>
        </w:rPr>
        <w:t>nanovlákenných</w:t>
      </w:r>
      <w:proofErr w:type="spellEnd"/>
      <w:r>
        <w:rPr>
          <w:rFonts w:ascii="Arial" w:eastAsia="Arial" w:hAnsi="Arial"/>
          <w:spacing w:val="-4"/>
        </w:rPr>
        <w:t xml:space="preserve"> materiálů v pokročilých analytických technikách. Pro využití potenciálu, který použití </w:t>
      </w:r>
      <w:proofErr w:type="spellStart"/>
      <w:r>
        <w:rPr>
          <w:rFonts w:ascii="Arial" w:eastAsia="Arial" w:hAnsi="Arial"/>
          <w:spacing w:val="-4"/>
        </w:rPr>
        <w:t>nanovláken</w:t>
      </w:r>
      <w:proofErr w:type="spellEnd"/>
      <w:r>
        <w:rPr>
          <w:rFonts w:ascii="Arial" w:eastAsia="Arial" w:hAnsi="Arial"/>
          <w:spacing w:val="-4"/>
        </w:rPr>
        <w:t xml:space="preserve"> v analytické chemii přináší, bylo zapotřebí dlouholetého systematického výzkumu, který přinesl celou řadu unikátních výsledků. Jedním z těchto výsledků byl</w:t>
      </w:r>
    </w:p>
    <w:p w:rsidR="00BB63C6" w:rsidRDefault="006C4516">
      <w:pPr>
        <w:spacing w:line="200" w:lineRule="exact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  <w:noProof/>
          <w:lang w:eastAsia="cs-CZ" w:bidi="ar-SA"/>
        </w:rPr>
        <w:lastRenderedPageBreak/>
        <w:drawing>
          <wp:anchor distT="0" distB="0" distL="0" distR="0" simplePos="0" relativeHeight="9" behindDoc="1" locked="0" layoutInCell="1" allowOverlap="1">
            <wp:simplePos x="0" y="0"/>
            <wp:positionH relativeFrom="page">
              <wp:posOffset>3051175</wp:posOffset>
            </wp:positionH>
            <wp:positionV relativeFrom="page">
              <wp:posOffset>1474470</wp:posOffset>
            </wp:positionV>
            <wp:extent cx="1189990" cy="153670"/>
            <wp:effectExtent l="0" t="0" r="0" b="0"/>
            <wp:wrapNone/>
            <wp:docPr id="9" name="Obrázek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38" t="-295" r="-38" b="-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53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Times New Roman"/>
          <w:noProof/>
          <w:lang w:eastAsia="cs-CZ" w:bidi="ar-SA"/>
        </w:rPr>
        <w:drawing>
          <wp:anchor distT="0" distB="0" distL="0" distR="0" simplePos="0" relativeHeight="10" behindDoc="1" locked="0" layoutInCell="1" allowOverlap="1">
            <wp:simplePos x="0" y="0"/>
            <wp:positionH relativeFrom="page">
              <wp:posOffset>3350895</wp:posOffset>
            </wp:positionH>
            <wp:positionV relativeFrom="page">
              <wp:posOffset>488315</wp:posOffset>
            </wp:positionV>
            <wp:extent cx="579120" cy="882650"/>
            <wp:effectExtent l="0" t="0" r="0" b="0"/>
            <wp:wrapNone/>
            <wp:docPr id="10" name="Obrázek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77" t="-51" r="-77" b="-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5" w:name="page6"/>
      <w:bookmarkEnd w:id="5"/>
    </w:p>
    <w:p w:rsidR="00BB63C6" w:rsidRDefault="00BB63C6">
      <w:pPr>
        <w:spacing w:line="200" w:lineRule="exact"/>
        <w:rPr>
          <w:rFonts w:ascii="Arial" w:eastAsia="Times New Roman" w:hAnsi="Arial" w:cs="Times New Roman"/>
        </w:rPr>
      </w:pPr>
    </w:p>
    <w:p w:rsidR="00BB63C6" w:rsidRDefault="00BB63C6">
      <w:pPr>
        <w:spacing w:line="200" w:lineRule="exact"/>
        <w:rPr>
          <w:rFonts w:ascii="Arial" w:eastAsia="Times New Roman" w:hAnsi="Arial" w:cs="Times New Roman"/>
        </w:rPr>
      </w:pPr>
    </w:p>
    <w:p w:rsidR="00BB63C6" w:rsidRDefault="00BB63C6">
      <w:pPr>
        <w:spacing w:line="200" w:lineRule="exact"/>
        <w:rPr>
          <w:rFonts w:ascii="Arial" w:eastAsia="Times New Roman" w:hAnsi="Arial" w:cs="Times New Roman"/>
        </w:rPr>
      </w:pPr>
    </w:p>
    <w:p w:rsidR="00BB63C6" w:rsidRDefault="00BB63C6">
      <w:pPr>
        <w:spacing w:line="200" w:lineRule="exact"/>
        <w:rPr>
          <w:rFonts w:ascii="Arial" w:eastAsia="Times New Roman" w:hAnsi="Arial" w:cs="Times New Roman"/>
        </w:rPr>
      </w:pPr>
    </w:p>
    <w:p w:rsidR="00BB63C6" w:rsidRDefault="00BB63C6">
      <w:pPr>
        <w:spacing w:line="200" w:lineRule="exact"/>
        <w:rPr>
          <w:rFonts w:ascii="Arial" w:eastAsia="Times New Roman" w:hAnsi="Arial" w:cs="Times New Roman"/>
        </w:rPr>
      </w:pPr>
    </w:p>
    <w:p w:rsidR="00BB63C6" w:rsidRDefault="00BB63C6">
      <w:pPr>
        <w:spacing w:line="328" w:lineRule="exact"/>
        <w:rPr>
          <w:rFonts w:ascii="Arial" w:eastAsia="Times New Roman" w:hAnsi="Arial" w:cs="Times New Roman"/>
        </w:rPr>
      </w:pPr>
    </w:p>
    <w:p w:rsidR="00BB63C6" w:rsidRDefault="006C4516">
      <w:pPr>
        <w:spacing w:line="264" w:lineRule="auto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pacing w:val="-6"/>
        </w:rPr>
        <w:t xml:space="preserve">vznik patentované technologie na výrobu vlákenných sorbentů ze směsi </w:t>
      </w:r>
      <w:proofErr w:type="spellStart"/>
      <w:r>
        <w:rPr>
          <w:rFonts w:ascii="Arial" w:eastAsia="Arial" w:hAnsi="Arial"/>
          <w:spacing w:val="-6"/>
        </w:rPr>
        <w:t>mikro</w:t>
      </w:r>
      <w:proofErr w:type="spellEnd"/>
      <w:r>
        <w:rPr>
          <w:rFonts w:ascii="Arial" w:eastAsia="Arial" w:hAnsi="Arial"/>
          <w:spacing w:val="-6"/>
        </w:rPr>
        <w:t xml:space="preserve"> a </w:t>
      </w:r>
      <w:proofErr w:type="spellStart"/>
      <w:r>
        <w:rPr>
          <w:rFonts w:ascii="Arial" w:eastAsia="Arial" w:hAnsi="Arial"/>
          <w:spacing w:val="-6"/>
        </w:rPr>
        <w:t>nanovláken</w:t>
      </w:r>
      <w:proofErr w:type="spellEnd"/>
      <w:r>
        <w:rPr>
          <w:rFonts w:ascii="Arial" w:eastAsia="Arial" w:hAnsi="Arial"/>
          <w:spacing w:val="-6"/>
        </w:rPr>
        <w:t xml:space="preserve">, která přináší kombinaci vysoké produktivity výroby, strukturní stability a extrakční účinnosti. Následně vznikly protokoly povrchové úpravy těchto materiálů, které pomáhají dále zefektivňovat a cílit extrakce na vybrané látky. Nebyly to ale pouze nové materiály a jejich modifikace, co dělá tento výzkum tak inovativním. Je to také vznik velmi podrobné laboratorní metodiky manipulace </w:t>
      </w:r>
      <w:proofErr w:type="gramStart"/>
      <w:r>
        <w:rPr>
          <w:rFonts w:ascii="Arial" w:eastAsia="Arial" w:hAnsi="Arial"/>
          <w:spacing w:val="-6"/>
        </w:rPr>
        <w:t>se</w:t>
      </w:r>
      <w:proofErr w:type="gramEnd"/>
      <w:r>
        <w:rPr>
          <w:rFonts w:ascii="Arial" w:eastAsia="Arial" w:hAnsi="Arial"/>
          <w:spacing w:val="-6"/>
        </w:rPr>
        <w:t xml:space="preserve"> těmito sorbenty a podrobné návody. Dr. Háková testovala podmínky použití </w:t>
      </w:r>
      <w:proofErr w:type="spellStart"/>
      <w:r>
        <w:rPr>
          <w:rFonts w:ascii="Arial" w:eastAsia="Arial" w:hAnsi="Arial"/>
          <w:spacing w:val="-6"/>
        </w:rPr>
        <w:t>nanovláken</w:t>
      </w:r>
      <w:proofErr w:type="spellEnd"/>
      <w:r>
        <w:rPr>
          <w:rFonts w:ascii="Arial" w:eastAsia="Arial" w:hAnsi="Arial"/>
          <w:spacing w:val="-6"/>
        </w:rPr>
        <w:t xml:space="preserve"> ve vysokotlakých průtokových systémech, vliv výrobních faktorů na jejich stabilitu a extrakční účinnost. Následně ověřovala možnost jejich využití při analýze léčiv v biologických vzorcích a kontaminantů v životním prostředí. Díky výzkumu Dr. Hákové bylo identifikováno několik velmi účinných </w:t>
      </w:r>
      <w:proofErr w:type="spellStart"/>
      <w:r>
        <w:rPr>
          <w:rFonts w:ascii="Arial" w:eastAsia="Arial" w:hAnsi="Arial"/>
          <w:spacing w:val="-6"/>
        </w:rPr>
        <w:t>nanovlákenných</w:t>
      </w:r>
      <w:proofErr w:type="spellEnd"/>
      <w:r>
        <w:rPr>
          <w:rFonts w:ascii="Arial" w:eastAsia="Arial" w:hAnsi="Arial"/>
          <w:spacing w:val="-6"/>
        </w:rPr>
        <w:t xml:space="preserve"> materiálů, které jsou, v porovnání s komerčně dostupnými sorbenty méně nákladné a poskytují lepší výsledky. Bylo prokázáno, že použití </w:t>
      </w:r>
      <w:proofErr w:type="spellStart"/>
      <w:r>
        <w:rPr>
          <w:rFonts w:ascii="Arial" w:eastAsia="Arial" w:hAnsi="Arial"/>
          <w:spacing w:val="-6"/>
        </w:rPr>
        <w:t>nanovláken</w:t>
      </w:r>
      <w:proofErr w:type="spellEnd"/>
      <w:r>
        <w:rPr>
          <w:rFonts w:ascii="Arial" w:eastAsia="Arial" w:hAnsi="Arial"/>
          <w:spacing w:val="-6"/>
        </w:rPr>
        <w:t xml:space="preserve"> jako sorbentů v extrakčních technikách vede ke snížení spotřeby organických rozpouštědel a výrazné úspoře času. Díky tomu mají dané analýzy menší dopad na životní prostředí. Díky její práci je možné jednoduše a efektivně zanalyzovat například vzorek piva nebo vína a určit, zda obsahuje například škodlivé mykotoxiny nebo naopak v případě vína prospěšné biologicky aktivní látky. Nebo například kompletně zanalyzovat vzorek říční vody za méně než 5 minut. Analytické metody Dr. Hákové jsou jednoduše přenositelné do kterékoli jiné laboratoře s potřebným vybavením.</w:t>
      </w:r>
    </w:p>
    <w:p w:rsidR="00BB63C6" w:rsidRDefault="00BB63C6">
      <w:pPr>
        <w:spacing w:line="178" w:lineRule="exact"/>
        <w:rPr>
          <w:rFonts w:ascii="Arial" w:eastAsia="Times New Roman" w:hAnsi="Arial" w:cs="Times New Roman"/>
        </w:rPr>
      </w:pPr>
    </w:p>
    <w:p w:rsidR="00BB63C6" w:rsidRDefault="006C4516">
      <w:pPr>
        <w:spacing w:line="252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Celý výzkum, sestávající z uceleného souboru unikátních vědeckých výsledků, obstál v mezinárodním měřítku, byl s velkým nadšením přijímán vědeckou veřejností, která kvituje její široký přínos v analytické chemii. Tento přínos podporuje také fakt, že výzkum pokračuje úspěšně dále nejenom v základní rovině, ale započalo jeho uvádění do praxe.</w:t>
      </w:r>
    </w:p>
    <w:p w:rsidR="00BB63C6" w:rsidRDefault="00BB63C6">
      <w:pPr>
        <w:spacing w:line="200" w:lineRule="exact"/>
        <w:rPr>
          <w:rFonts w:ascii="Arial" w:eastAsia="Times New Roman" w:hAnsi="Arial" w:cs="Times New Roman"/>
        </w:rPr>
      </w:pPr>
    </w:p>
    <w:p w:rsidR="00BB63C6" w:rsidRDefault="00BB63C6">
      <w:pPr>
        <w:spacing w:line="200" w:lineRule="exact"/>
        <w:rPr>
          <w:rFonts w:ascii="Arial" w:eastAsia="Times New Roman" w:hAnsi="Arial" w:cs="Times New Roman"/>
        </w:rPr>
      </w:pPr>
    </w:p>
    <w:p w:rsidR="00BB63C6" w:rsidRDefault="00BB63C6">
      <w:pPr>
        <w:spacing w:line="310" w:lineRule="exact"/>
        <w:rPr>
          <w:rFonts w:ascii="Arial" w:eastAsia="Times New Roman" w:hAnsi="Arial" w:cs="Times New Roman"/>
        </w:rPr>
      </w:pPr>
    </w:p>
    <w:p w:rsidR="00BB63C6" w:rsidRDefault="006C4516">
      <w:pPr>
        <w:jc w:val="center"/>
        <w:rPr>
          <w:rFonts w:ascii="Arial" w:eastAsia="Arial" w:hAnsi="Arial"/>
          <w:b/>
          <w:color w:val="E30613"/>
          <w:sz w:val="34"/>
        </w:rPr>
      </w:pPr>
      <w:r>
        <w:rPr>
          <w:rFonts w:ascii="Arial" w:eastAsia="Arial" w:hAnsi="Arial"/>
          <w:b/>
          <w:color w:val="E30613"/>
          <w:sz w:val="34"/>
        </w:rPr>
        <w:t xml:space="preserve">Cena společnosti </w:t>
      </w:r>
      <w:proofErr w:type="spellStart"/>
      <w:r>
        <w:rPr>
          <w:rFonts w:ascii="Arial" w:eastAsia="Arial" w:hAnsi="Arial"/>
          <w:b/>
          <w:color w:val="E30613"/>
          <w:sz w:val="34"/>
        </w:rPr>
        <w:t>Veolia</w:t>
      </w:r>
      <w:proofErr w:type="spellEnd"/>
      <w:r>
        <w:rPr>
          <w:rFonts w:ascii="Arial" w:eastAsia="Arial" w:hAnsi="Arial"/>
          <w:b/>
          <w:color w:val="E30613"/>
          <w:sz w:val="34"/>
        </w:rPr>
        <w:t xml:space="preserve">, cena </w:t>
      </w:r>
      <w:proofErr w:type="spellStart"/>
      <w:r>
        <w:rPr>
          <w:rFonts w:ascii="Arial" w:eastAsia="Arial" w:hAnsi="Arial"/>
          <w:b/>
          <w:color w:val="E30613"/>
          <w:sz w:val="34"/>
        </w:rPr>
        <w:t>Doctorandus</w:t>
      </w:r>
      <w:proofErr w:type="spellEnd"/>
      <w:r>
        <w:rPr>
          <w:rFonts w:ascii="Arial" w:eastAsia="Arial" w:hAnsi="Arial"/>
          <w:b/>
          <w:color w:val="E30613"/>
          <w:sz w:val="34"/>
        </w:rPr>
        <w:t xml:space="preserve"> za přírodní vědy</w:t>
      </w:r>
    </w:p>
    <w:p w:rsidR="00BB63C6" w:rsidRDefault="00BB63C6">
      <w:pPr>
        <w:spacing w:line="230" w:lineRule="exact"/>
        <w:rPr>
          <w:rFonts w:ascii="Arial" w:eastAsia="Times New Roman" w:hAnsi="Arial" w:cs="Times New Roman"/>
          <w:b/>
          <w:color w:val="E30613"/>
          <w:sz w:val="34"/>
        </w:rPr>
      </w:pPr>
    </w:p>
    <w:p w:rsidR="00BB63C6" w:rsidRDefault="006C4516">
      <w:pPr>
        <w:spacing w:line="290" w:lineRule="auto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Cena se uděluje za inovativní přístup, nejvýraznější počin, odbornou nebo vědeckou činnost studenta doktorského studijního programu, obzvláště pak v matematice, fyzice, chemii, biologii a medicíně.</w:t>
      </w:r>
    </w:p>
    <w:p w:rsidR="00BB63C6" w:rsidRDefault="00BB63C6">
      <w:pPr>
        <w:spacing w:line="200" w:lineRule="exact"/>
        <w:rPr>
          <w:rFonts w:ascii="Arial" w:eastAsia="Times New Roman" w:hAnsi="Arial" w:cs="Times New Roman"/>
          <w:b/>
        </w:rPr>
      </w:pPr>
    </w:p>
    <w:p w:rsidR="00BB63C6" w:rsidRDefault="00BB63C6">
      <w:pPr>
        <w:spacing w:line="208" w:lineRule="exact"/>
        <w:rPr>
          <w:rFonts w:ascii="Arial" w:eastAsia="Times New Roman" w:hAnsi="Arial" w:cs="Times New Roman"/>
        </w:rPr>
      </w:pPr>
    </w:p>
    <w:p w:rsidR="00BB63C6" w:rsidRDefault="006C4516">
      <w:pPr>
        <w:rPr>
          <w:rFonts w:ascii="Arial" w:hAnsi="Arial"/>
        </w:rPr>
      </w:pPr>
      <w:r>
        <w:rPr>
          <w:rFonts w:ascii="Arial" w:eastAsia="Arial" w:hAnsi="Arial"/>
          <w:b/>
          <w:color w:val="E30613"/>
          <w:sz w:val="30"/>
        </w:rPr>
        <w:t>Laureát:</w:t>
      </w:r>
      <w:r>
        <w:rPr>
          <w:rFonts w:ascii="Arial" w:eastAsia="Arial" w:hAnsi="Arial"/>
          <w:b/>
          <w:color w:val="000000"/>
          <w:sz w:val="30"/>
        </w:rPr>
        <w:t xml:space="preserve"> Libor Šmejkal, </w:t>
      </w:r>
      <w:proofErr w:type="spellStart"/>
      <w:r>
        <w:rPr>
          <w:rFonts w:ascii="Arial" w:eastAsia="Arial" w:hAnsi="Arial"/>
          <w:b/>
          <w:color w:val="000000"/>
          <w:sz w:val="30"/>
        </w:rPr>
        <w:t>Ph.D</w:t>
      </w:r>
      <w:proofErr w:type="spellEnd"/>
      <w:r>
        <w:rPr>
          <w:rFonts w:ascii="Arial" w:eastAsia="Arial" w:hAnsi="Arial"/>
          <w:b/>
          <w:color w:val="000000"/>
          <w:sz w:val="30"/>
        </w:rPr>
        <w:t>.</w:t>
      </w:r>
    </w:p>
    <w:p w:rsidR="00BB63C6" w:rsidRDefault="00BB63C6">
      <w:pPr>
        <w:spacing w:line="109" w:lineRule="exact"/>
        <w:rPr>
          <w:rFonts w:ascii="Arial" w:eastAsia="Times New Roman" w:hAnsi="Arial" w:cs="Times New Roman"/>
          <w:b/>
          <w:color w:val="000000"/>
          <w:sz w:val="30"/>
        </w:rPr>
      </w:pPr>
    </w:p>
    <w:p w:rsidR="00BB63C6" w:rsidRDefault="006C4516">
      <w:pPr>
        <w:ind w:left="122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Topologická antiferomagnetická </w:t>
      </w:r>
      <w:proofErr w:type="spellStart"/>
      <w:r>
        <w:rPr>
          <w:rFonts w:ascii="Arial" w:eastAsia="Arial" w:hAnsi="Arial"/>
          <w:b/>
        </w:rPr>
        <w:t>spintronika</w:t>
      </w:r>
      <w:proofErr w:type="spellEnd"/>
    </w:p>
    <w:p w:rsidR="00BB63C6" w:rsidRDefault="00BB63C6">
      <w:pPr>
        <w:spacing w:line="200" w:lineRule="exact"/>
        <w:rPr>
          <w:rFonts w:ascii="Arial" w:eastAsia="Times New Roman" w:hAnsi="Arial" w:cs="Times New Roman"/>
          <w:b/>
        </w:rPr>
      </w:pPr>
    </w:p>
    <w:p w:rsidR="00BB63C6" w:rsidRDefault="00BB63C6">
      <w:pPr>
        <w:spacing w:line="291" w:lineRule="exact"/>
        <w:rPr>
          <w:rFonts w:ascii="Arial" w:eastAsia="Times New Roman" w:hAnsi="Arial" w:cs="Times New Roman"/>
        </w:rPr>
      </w:pPr>
    </w:p>
    <w:p w:rsidR="00BB63C6" w:rsidRDefault="006C4516">
      <w:pPr>
        <w:spacing w:line="276" w:lineRule="auto"/>
        <w:jc w:val="both"/>
        <w:rPr>
          <w:rFonts w:ascii="Arial" w:hAnsi="Arial"/>
          <w:spacing w:val="-4"/>
        </w:rPr>
      </w:pPr>
      <w:r>
        <w:rPr>
          <w:rFonts w:ascii="Arial" w:eastAsia="Arial" w:hAnsi="Arial"/>
          <w:spacing w:val="-4"/>
        </w:rPr>
        <w:t>Palivem rozvoje společnosti 21. století je neustálý vývoj elektronických součástek, které však spotřebovávají stále větší část světových zdrojů energie. Snížení spotřeby energie slibuje využití spinu – vnitřního magnetického momentu elektronu. Generování spinu elektronu bez rušivých magnetických polí nebo toxických prvků je ovšem obrovská výzva. V běžných krystalech se elektrony totiž vyskytují v párech s opačnými navzájem se rušícími spiny.</w:t>
      </w:r>
    </w:p>
    <w:p w:rsidR="00BB63C6" w:rsidRDefault="00BB63C6">
      <w:pPr>
        <w:spacing w:line="180" w:lineRule="exact"/>
        <w:rPr>
          <w:rFonts w:ascii="Arial" w:eastAsia="Times New Roman" w:hAnsi="Arial" w:cs="Times New Roman"/>
        </w:rPr>
      </w:pPr>
    </w:p>
    <w:p w:rsidR="00BB63C6" w:rsidRDefault="006C4516">
      <w:pPr>
        <w:spacing w:line="252" w:lineRule="auto"/>
        <w:jc w:val="both"/>
        <w:rPr>
          <w:rFonts w:ascii="Arial" w:hAnsi="Arial"/>
          <w:spacing w:val="-10"/>
        </w:rPr>
      </w:pPr>
      <w:r>
        <w:rPr>
          <w:rFonts w:ascii="Arial" w:eastAsia="Arial" w:hAnsi="Arial"/>
          <w:spacing w:val="-10"/>
        </w:rPr>
        <w:t xml:space="preserve">Libor Šmejkal se svými kolegy objevili novou třídu vodivých materiálů umožňujících rozdělení elektronů s opačným </w:t>
      </w:r>
      <w:proofErr w:type="spellStart"/>
      <w:r>
        <w:rPr>
          <w:rFonts w:ascii="Arial" w:eastAsia="Arial" w:hAnsi="Arial"/>
          <w:spacing w:val="-10"/>
        </w:rPr>
        <w:t>spinem</w:t>
      </w:r>
      <w:proofErr w:type="spellEnd"/>
      <w:r>
        <w:rPr>
          <w:rFonts w:ascii="Arial" w:eastAsia="Arial" w:hAnsi="Arial"/>
          <w:spacing w:val="-10"/>
        </w:rPr>
        <w:t xml:space="preserve">. Jedná se o nový typ </w:t>
      </w:r>
      <w:proofErr w:type="spellStart"/>
      <w:r>
        <w:rPr>
          <w:rFonts w:ascii="Arial" w:eastAsia="Arial" w:hAnsi="Arial"/>
          <w:spacing w:val="-10"/>
        </w:rPr>
        <w:t>antiferromagnetů</w:t>
      </w:r>
      <w:proofErr w:type="spellEnd"/>
      <w:r>
        <w:rPr>
          <w:rFonts w:ascii="Arial" w:eastAsia="Arial" w:hAnsi="Arial"/>
          <w:spacing w:val="-10"/>
        </w:rPr>
        <w:t xml:space="preserve"> – krystalů se sousedními atomovými magnetickými momenty uspořádanými opačným směrem. Běžné </w:t>
      </w:r>
      <w:proofErr w:type="spellStart"/>
      <w:r>
        <w:rPr>
          <w:rFonts w:ascii="Arial" w:eastAsia="Arial" w:hAnsi="Arial"/>
          <w:spacing w:val="-10"/>
        </w:rPr>
        <w:t>antiferromagnety</w:t>
      </w:r>
      <w:proofErr w:type="spellEnd"/>
      <w:r>
        <w:rPr>
          <w:rFonts w:ascii="Arial" w:eastAsia="Arial" w:hAnsi="Arial"/>
          <w:spacing w:val="-10"/>
        </w:rPr>
        <w:t xml:space="preserve"> jsou navenek magneticky neviditelné a téměř po století jejich studia byly považovány za nevhodné pro generování spinu a </w:t>
      </w:r>
      <w:proofErr w:type="spellStart"/>
      <w:r>
        <w:rPr>
          <w:rFonts w:ascii="Arial" w:eastAsia="Arial" w:hAnsi="Arial"/>
          <w:spacing w:val="-10"/>
        </w:rPr>
        <w:t>nízkoztrátových</w:t>
      </w:r>
      <w:proofErr w:type="spellEnd"/>
      <w:r>
        <w:rPr>
          <w:rFonts w:ascii="Arial" w:eastAsia="Arial" w:hAnsi="Arial"/>
          <w:spacing w:val="-10"/>
        </w:rPr>
        <w:t xml:space="preserve"> proudů. Libor Šmejkal dokázal prostorové rozložení magnetického momentu v </w:t>
      </w:r>
      <w:proofErr w:type="spellStart"/>
      <w:r>
        <w:rPr>
          <w:rFonts w:ascii="Arial" w:eastAsia="Arial" w:hAnsi="Arial"/>
          <w:spacing w:val="-10"/>
        </w:rPr>
        <w:t>antiferromagnetu</w:t>
      </w:r>
      <w:proofErr w:type="spellEnd"/>
      <w:r>
        <w:rPr>
          <w:rFonts w:ascii="Arial" w:eastAsia="Arial" w:hAnsi="Arial"/>
          <w:spacing w:val="-10"/>
        </w:rPr>
        <w:t xml:space="preserve"> uspořádat tak, že navenek zůstává krystal magneticky neviditelný, ale elektrony uvnitř pociťují efektivní pole překvapivě milionkrát silnější než pole magnetu na ledničce! Nová </w:t>
      </w:r>
      <w:proofErr w:type="spellStart"/>
      <w:r>
        <w:rPr>
          <w:rFonts w:ascii="Arial" w:eastAsia="Arial" w:hAnsi="Arial"/>
          <w:spacing w:val="-10"/>
        </w:rPr>
        <w:t>antiferromagnetická</w:t>
      </w:r>
      <w:proofErr w:type="spellEnd"/>
      <w:r>
        <w:rPr>
          <w:rFonts w:ascii="Arial" w:eastAsia="Arial" w:hAnsi="Arial"/>
          <w:spacing w:val="-10"/>
        </w:rPr>
        <w:t xml:space="preserve"> pole pak umožňují až </w:t>
      </w:r>
      <w:proofErr w:type="gramStart"/>
      <w:r>
        <w:rPr>
          <w:rFonts w:ascii="Arial" w:eastAsia="Arial" w:hAnsi="Arial"/>
          <w:spacing w:val="-10"/>
        </w:rPr>
        <w:t>100-násobné</w:t>
      </w:r>
      <w:proofErr w:type="gramEnd"/>
      <w:r>
        <w:rPr>
          <w:rFonts w:ascii="Arial" w:eastAsia="Arial" w:hAnsi="Arial"/>
          <w:spacing w:val="-10"/>
        </w:rPr>
        <w:t xml:space="preserve"> zesílení spinových signálů a v principu vedení elektrického proudu beze ztrát. Možnost vedení elektrického proudu beze ztrát podél určitých směrů v </w:t>
      </w:r>
      <w:proofErr w:type="spellStart"/>
      <w:r>
        <w:rPr>
          <w:rFonts w:ascii="Arial" w:eastAsia="Arial" w:hAnsi="Arial"/>
          <w:spacing w:val="-10"/>
        </w:rPr>
        <w:t>antiferromagnetech</w:t>
      </w:r>
      <w:proofErr w:type="spellEnd"/>
      <w:r>
        <w:rPr>
          <w:rFonts w:ascii="Arial" w:eastAsia="Arial" w:hAnsi="Arial"/>
          <w:spacing w:val="-10"/>
        </w:rPr>
        <w:t xml:space="preserve"> se dokonce podařilo experimentálně potvrdit v mezinárodním týmu složeném ze skupin v Praze, Německu a dalších světových pracovišť!</w:t>
      </w:r>
    </w:p>
    <w:p w:rsidR="00BB63C6" w:rsidRDefault="00BB63C6">
      <w:pPr>
        <w:spacing w:line="206" w:lineRule="exact"/>
        <w:rPr>
          <w:rFonts w:ascii="Arial" w:eastAsia="Times New Roman" w:hAnsi="Arial" w:cs="Times New Roman"/>
        </w:rPr>
      </w:pPr>
    </w:p>
    <w:p w:rsidR="00BB63C6" w:rsidRDefault="006C4516">
      <w:pPr>
        <w:spacing w:line="252" w:lineRule="auto"/>
        <w:jc w:val="both"/>
      </w:pPr>
      <w:r>
        <w:rPr>
          <w:rFonts w:ascii="Arial" w:eastAsia="Arial" w:hAnsi="Arial"/>
        </w:rPr>
        <w:t xml:space="preserve">Objevy Libora Šmejkala přispěly k ustanovení nového oboru tzv. topologického magnetismu s </w:t>
      </w:r>
      <w:proofErr w:type="spellStart"/>
      <w:r>
        <w:rPr>
          <w:rFonts w:ascii="Arial" w:eastAsia="Arial" w:hAnsi="Arial"/>
        </w:rPr>
        <w:t>nízkoztrátovými</w:t>
      </w:r>
      <w:proofErr w:type="spellEnd"/>
      <w:r>
        <w:rPr>
          <w:rFonts w:ascii="Arial" w:eastAsia="Arial" w:hAnsi="Arial"/>
        </w:rPr>
        <w:t xml:space="preserve"> a vysoce mobilními elektrony, které slibuji široké spektrum aplikací ve vědě a technice. Ve vědě již nalezly uplatnění při mapování </w:t>
      </w:r>
      <w:proofErr w:type="spellStart"/>
      <w:r>
        <w:rPr>
          <w:rFonts w:ascii="Arial" w:eastAsia="Arial" w:hAnsi="Arial"/>
        </w:rPr>
        <w:t>antiferromagnetických</w:t>
      </w:r>
      <w:proofErr w:type="spellEnd"/>
      <w:r>
        <w:rPr>
          <w:rFonts w:ascii="Arial" w:eastAsia="Arial" w:hAnsi="Arial"/>
        </w:rPr>
        <w:t xml:space="preserve"> krystalů a při návrhu nového způsobu detekce temné hmoty. Pro techniku je velmi atraktivní, že mechanismus spinového rozdělení nevyžaduje těžké prvky a je možné jej zrealizovat za pokojové teploty. </w:t>
      </w:r>
      <w:proofErr w:type="spellStart"/>
      <w:r>
        <w:rPr>
          <w:rFonts w:ascii="Arial" w:eastAsia="Arial" w:hAnsi="Arial"/>
        </w:rPr>
        <w:t>Antiferromagnety</w:t>
      </w:r>
      <w:proofErr w:type="spellEnd"/>
      <w:r>
        <w:rPr>
          <w:rFonts w:ascii="Arial" w:eastAsia="Arial" w:hAnsi="Arial"/>
        </w:rPr>
        <w:t xml:space="preserve"> tak mají potenciál být v budoucnosti využity ke konstrukci počítačů inspirovaných lidským mozkem, </w:t>
      </w:r>
      <w:proofErr w:type="spellStart"/>
      <w:r>
        <w:rPr>
          <w:rFonts w:ascii="Arial" w:eastAsia="Arial" w:hAnsi="Arial"/>
        </w:rPr>
        <w:t>ultrarychlému</w:t>
      </w:r>
      <w:proofErr w:type="spellEnd"/>
      <w:r>
        <w:rPr>
          <w:rFonts w:ascii="Arial" w:eastAsia="Arial" w:hAnsi="Arial"/>
        </w:rPr>
        <w:t xml:space="preserve"> optickému a elektrickému zpracování informace, nebo dokonce přispět ke snížení světové spotřeby energie včetně prodloužení výdrže vašeho chytrého telefonu.</w:t>
      </w:r>
    </w:p>
    <w:sectPr w:rsidR="00BB63C6" w:rsidSect="00BB63C6">
      <w:pgSz w:w="11906" w:h="16838"/>
      <w:pgMar w:top="1440" w:right="1026" w:bottom="0" w:left="1040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PingFang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B5F9B"/>
    <w:multiLevelType w:val="multilevel"/>
    <w:tmpl w:val="92A068EE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3D05364"/>
    <w:multiLevelType w:val="multilevel"/>
    <w:tmpl w:val="C8A6FD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9"/>
  <w:hyphenationZone w:val="425"/>
  <w:characterSpacingControl w:val="doNotCompress"/>
  <w:compat>
    <w:useFELayout/>
  </w:compat>
  <w:rsids>
    <w:rsidRoot w:val="00BB63C6"/>
    <w:rsid w:val="006C4516"/>
    <w:rsid w:val="00B36F3A"/>
    <w:rsid w:val="00BB63C6"/>
    <w:rsid w:val="00E8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6180"/>
    <w:pPr>
      <w:overflowPunct w:val="0"/>
    </w:pPr>
    <w:rPr>
      <w:rFonts w:ascii="Calibri" w:eastAsia="Calibri" w:hAnsi="Calibri"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E96180"/>
  </w:style>
  <w:style w:type="character" w:customStyle="1" w:styleId="WW8Num1z1">
    <w:name w:val="WW8Num1z1"/>
    <w:qFormat/>
    <w:rsid w:val="00E96180"/>
  </w:style>
  <w:style w:type="character" w:customStyle="1" w:styleId="WW8Num1z2">
    <w:name w:val="WW8Num1z2"/>
    <w:qFormat/>
    <w:rsid w:val="00E96180"/>
  </w:style>
  <w:style w:type="character" w:customStyle="1" w:styleId="WW8Num1z3">
    <w:name w:val="WW8Num1z3"/>
    <w:qFormat/>
    <w:rsid w:val="00E96180"/>
  </w:style>
  <w:style w:type="character" w:customStyle="1" w:styleId="WW8Num1z4">
    <w:name w:val="WW8Num1z4"/>
    <w:qFormat/>
    <w:rsid w:val="00E96180"/>
  </w:style>
  <w:style w:type="character" w:customStyle="1" w:styleId="WW8Num1z5">
    <w:name w:val="WW8Num1z5"/>
    <w:qFormat/>
    <w:rsid w:val="00E96180"/>
  </w:style>
  <w:style w:type="character" w:customStyle="1" w:styleId="WW8Num1z6">
    <w:name w:val="WW8Num1z6"/>
    <w:qFormat/>
    <w:rsid w:val="00E96180"/>
  </w:style>
  <w:style w:type="character" w:customStyle="1" w:styleId="WW8Num1z7">
    <w:name w:val="WW8Num1z7"/>
    <w:qFormat/>
    <w:rsid w:val="00E96180"/>
  </w:style>
  <w:style w:type="character" w:customStyle="1" w:styleId="WW8Num1z8">
    <w:name w:val="WW8Num1z8"/>
    <w:qFormat/>
    <w:rsid w:val="00E96180"/>
  </w:style>
  <w:style w:type="character" w:customStyle="1" w:styleId="WW8Num2z0">
    <w:name w:val="WW8Num2z0"/>
    <w:qFormat/>
    <w:rsid w:val="00E96180"/>
    <w:rPr>
      <w:rFonts w:ascii="Arial" w:eastAsia="Arial" w:hAnsi="Arial" w:cs="Arial"/>
      <w:sz w:val="19"/>
    </w:rPr>
  </w:style>
  <w:style w:type="character" w:customStyle="1" w:styleId="WW8Num2z1">
    <w:name w:val="WW8Num2z1"/>
    <w:qFormat/>
    <w:rsid w:val="00E96180"/>
  </w:style>
  <w:style w:type="character" w:customStyle="1" w:styleId="WW8Num2z2">
    <w:name w:val="WW8Num2z2"/>
    <w:qFormat/>
    <w:rsid w:val="00E96180"/>
  </w:style>
  <w:style w:type="character" w:customStyle="1" w:styleId="WW8Num2z3">
    <w:name w:val="WW8Num2z3"/>
    <w:qFormat/>
    <w:rsid w:val="00E96180"/>
  </w:style>
  <w:style w:type="character" w:customStyle="1" w:styleId="WW8Num2z4">
    <w:name w:val="WW8Num2z4"/>
    <w:qFormat/>
    <w:rsid w:val="00E96180"/>
  </w:style>
  <w:style w:type="character" w:customStyle="1" w:styleId="WW8Num2z5">
    <w:name w:val="WW8Num2z5"/>
    <w:qFormat/>
    <w:rsid w:val="00E96180"/>
  </w:style>
  <w:style w:type="character" w:customStyle="1" w:styleId="WW8Num2z6">
    <w:name w:val="WW8Num2z6"/>
    <w:qFormat/>
    <w:rsid w:val="00E96180"/>
  </w:style>
  <w:style w:type="character" w:customStyle="1" w:styleId="WW8Num2z7">
    <w:name w:val="WW8Num2z7"/>
    <w:qFormat/>
    <w:rsid w:val="00E96180"/>
  </w:style>
  <w:style w:type="character" w:customStyle="1" w:styleId="WW8Num2z8">
    <w:name w:val="WW8Num2z8"/>
    <w:qFormat/>
    <w:rsid w:val="00E96180"/>
  </w:style>
  <w:style w:type="paragraph" w:customStyle="1" w:styleId="Nadpis">
    <w:name w:val="Nadpis"/>
    <w:basedOn w:val="Normln"/>
    <w:next w:val="Zkladntext"/>
    <w:qFormat/>
    <w:rsid w:val="00E96180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Zkladntext">
    <w:name w:val="Body Text"/>
    <w:basedOn w:val="Normln"/>
    <w:rsid w:val="00E96180"/>
    <w:pPr>
      <w:spacing w:after="140" w:line="276" w:lineRule="auto"/>
    </w:pPr>
  </w:style>
  <w:style w:type="paragraph" w:styleId="Seznam">
    <w:name w:val="List"/>
    <w:basedOn w:val="Zkladntext"/>
    <w:rsid w:val="00E96180"/>
    <w:rPr>
      <w:rFonts w:cs="Arial Unicode MS"/>
    </w:rPr>
  </w:style>
  <w:style w:type="paragraph" w:customStyle="1" w:styleId="Caption">
    <w:name w:val="Caption"/>
    <w:basedOn w:val="Normln"/>
    <w:qFormat/>
    <w:rsid w:val="00E9618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E96180"/>
    <w:pPr>
      <w:suppressLineNumbers/>
    </w:pPr>
    <w:rPr>
      <w:rFonts w:cs="Arial Unicode MS"/>
    </w:rPr>
  </w:style>
  <w:style w:type="paragraph" w:styleId="Bezmezer">
    <w:name w:val="No Spacing"/>
    <w:uiPriority w:val="1"/>
    <w:qFormat/>
    <w:rsid w:val="00416F77"/>
    <w:pPr>
      <w:overflowPunct w:val="0"/>
    </w:pPr>
    <w:rPr>
      <w:rFonts w:ascii="Calibri" w:eastAsia="Calibri" w:hAnsi="Calibri" w:cs="Mangal"/>
      <w:szCs w:val="18"/>
    </w:rPr>
  </w:style>
  <w:style w:type="paragraph" w:customStyle="1" w:styleId="Default">
    <w:name w:val="Default"/>
    <w:qFormat/>
    <w:rsid w:val="00BB63C6"/>
    <w:pPr>
      <w:suppressAutoHyphens/>
      <w:overflowPunct w:val="0"/>
      <w:textAlignment w:val="baseline"/>
    </w:pPr>
    <w:rPr>
      <w:rFonts w:ascii="Calibri" w:hAnsi="Calibri" w:cs="Calibri"/>
      <w:color w:val="000000"/>
      <w:sz w:val="24"/>
    </w:rPr>
  </w:style>
  <w:style w:type="paragraph" w:customStyle="1" w:styleId="Standard">
    <w:name w:val="Standard"/>
    <w:qFormat/>
    <w:rsid w:val="00BB63C6"/>
    <w:pPr>
      <w:suppressAutoHyphens/>
      <w:overflowPunct w:val="0"/>
      <w:textAlignment w:val="baseline"/>
    </w:pPr>
    <w:rPr>
      <w:rFonts w:cs="Arial"/>
      <w:sz w:val="24"/>
    </w:rPr>
  </w:style>
  <w:style w:type="numbering" w:customStyle="1" w:styleId="WW8Num1">
    <w:name w:val="WW8Num1"/>
    <w:qFormat/>
    <w:rsid w:val="00E96180"/>
  </w:style>
  <w:style w:type="numbering" w:customStyle="1" w:styleId="WW8Num2">
    <w:name w:val="WW8Num2"/>
    <w:qFormat/>
    <w:rsid w:val="00E9618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2832</Words>
  <Characters>16711</Characters>
  <Application>Microsoft Office Word</Application>
  <DocSecurity>4</DocSecurity>
  <Lines>139</Lines>
  <Paragraphs>39</Paragraphs>
  <ScaleCrop>false</ScaleCrop>
  <Company>Hewlett-Packard Company</Company>
  <LinksUpToDate>false</LinksUpToDate>
  <CharactersWithSpaces>19504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pazlerova</dc:creator>
  <cp:lastModifiedBy>pazlerova</cp:lastModifiedBy>
  <cp:revision>2</cp:revision>
  <dcterms:created xsi:type="dcterms:W3CDTF">2021-12-08T08:05:00Z</dcterms:created>
  <dcterms:modified xsi:type="dcterms:W3CDTF">2021-12-08T08:05:00Z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